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96292bff1450a40c8f5f8fcaf59f92792ee45d9"/>
    <w:p>
      <w:pPr>
        <w:pStyle w:val="Heading1"/>
      </w:pPr>
      <w:r>
        <w:t xml:space="preserve">Comprehensive Sales Report for Ophthalmologist Practice Operations in Germany Berlin</w:t>
      </w:r>
    </w:p>
    <w:p>
      <w:pPr>
        <w:pStyle w:val="FirstParagraph"/>
      </w:pPr>
      <w:r>
        <w:rPr>
          <w:bCs/>
          <w:b/>
        </w:rPr>
        <w:t xml:space="preserve">Prepared For:</w:t>
      </w:r>
      <w:r>
        <w:t xml:space="preserve"> </w:t>
      </w:r>
      <w:r>
        <w:t xml:space="preserve">Management Board, Berlin Ophthalmology Network</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detailed analysis of ophthalmologist practice performance across Berlin, Germany. The quarter demonstrated significant growth in specialized eye care services, with a 14.7% increase in patient volume compared to Q2 2023 and a 19.3% year-over-year expansion. This document specifically examines the operational dynamics of ophthalmologist practices within Berlin's competitive healthcare landscape, highlighting how strategic positioning aligns with Germany's stringent medical standards and Berlin's unique demographic needs.</w:t>
      </w:r>
    </w:p>
    <w:bookmarkEnd w:id="20"/>
    <w:bookmarkStart w:id="21" w:name="X15255256573ed32cf0df5825f001815da801314"/>
    <w:p>
      <w:pPr>
        <w:pStyle w:val="Heading2"/>
      </w:pPr>
      <w:r>
        <w:t xml:space="preserve">Market Analysis: Ophthalmology in Germany Berlin</w:t>
      </w:r>
    </w:p>
    <w:p>
      <w:pPr>
        <w:pStyle w:val="FirstParagraph"/>
      </w:pPr>
      <w:r>
        <w:t xml:space="preserve">Berlin represents a critical hub for ophthalmology services within Germany, serving over 3.7 million residents with rapidly aging demographics. The city hosts 147 specialized eye clinics and 82 independent ophthalmologist practices, creating a highly competitive environment where quality care directly impacts sales performance. According to the German Ophthalmological Society (DOG), Berlin's demand for cataract surgery has increased by 22% since 2019 due to its aging population (31.4% over 65 years). This trend positions our ophthalmologist practice network as a strategic asset within Germany's healthcare ecosystem.</w:t>
      </w:r>
    </w:p>
    <w:p>
      <w:pPr>
        <w:pStyle w:val="BodyText"/>
      </w:pPr>
      <w:r>
        <w:rPr>
          <w:bCs/>
          <w:b/>
        </w:rPr>
        <w:t xml:space="preserve">Key Berlin Market Insight:</w:t>
      </w:r>
      <w:r>
        <w:t xml:space="preserve"> </w:t>
      </w:r>
      <w:r>
        <w:t xml:space="preserve">Our analysis confirms that Berlin patients prioritize technology-driven care—87% of surveyed patients specifically seek practices with femtosecond laser cataract surgery capabilities. This directly influences sales conversion rates in our ophthalmologist network, as 63% of new patient inquiries cite advanced technology as the primary decision factor.</w:t>
      </w:r>
    </w:p>
    <w:bookmarkEnd w:id="21"/>
    <w:bookmarkStart w:id="22" w:name="sales-performance-overview"/>
    <w:p>
      <w:pPr>
        <w:pStyle w:val="Heading2"/>
      </w:pPr>
      <w:r>
        <w:t xml:space="preserve">Sales Performance Overview</w:t>
      </w:r>
    </w:p>
    <w:p>
      <w:pPr>
        <w:pStyle w:val="FirstParagraph"/>
      </w:pPr>
      <w:r>
        <w:t xml:space="preserve">Q3 2023 sales data reveals robust performance across all Berlin practice locations:</w:t>
      </w:r>
    </w:p>
    <w:p>
      <w:pPr>
        <w:numPr>
          <w:ilvl w:val="0"/>
          <w:numId w:val="1001"/>
        </w:numPr>
        <w:pStyle w:val="Compact"/>
      </w:pPr>
      <w:r>
        <w:rPr>
          <w:bCs/>
          <w:b/>
        </w:rPr>
        <w:t xml:space="preserve">Revenue Growth:</w:t>
      </w:r>
      <w:r>
        <w:t xml:space="preserve"> </w:t>
      </w:r>
      <w:r>
        <w:t xml:space="preserve">Total practice revenue reached €1.87M (up 14.7% from Q2), driven by a 19.3% increase in high-margin procedures like refractive surgery and retinal treatments.</w:t>
      </w:r>
    </w:p>
    <w:p>
      <w:pPr>
        <w:numPr>
          <w:ilvl w:val="0"/>
          <w:numId w:val="1001"/>
        </w:numPr>
        <w:pStyle w:val="Compact"/>
      </w:pPr>
      <w:r>
        <w:rPr>
          <w:bCs/>
          <w:b/>
        </w:rPr>
        <w:t xml:space="preserve">Patient Acquisition:</w:t>
      </w:r>
      <w:r>
        <w:t xml:space="preserve"> </w:t>
      </w:r>
      <w:r>
        <w:t xml:space="preserve">New patient registrations surged by 27.5%, with Berlin-based digital campaigns generating 42% of new leads—a significant improvement from Q1's 28%.</w:t>
      </w:r>
    </w:p>
    <w:p>
      <w:pPr>
        <w:numPr>
          <w:ilvl w:val="0"/>
          <w:numId w:val="1001"/>
        </w:numPr>
        <w:pStyle w:val="Compact"/>
      </w:pPr>
      <w:r>
        <w:rPr>
          <w:bCs/>
          <w:b/>
        </w:rPr>
        <w:t xml:space="preserve">Service Mix:</w:t>
      </w:r>
      <w:r>
        <w:t xml:space="preserve"> </w:t>
      </w:r>
      <w:r>
        <w:t xml:space="preserve">Cataract surgery (38% of total procedures) and diabetic retinopathy screenings (24%) remained top revenue generators, while emerging demand for myopia management programs contributed 15% of new business.</w:t>
      </w:r>
    </w:p>
    <w:p>
      <w:pPr>
        <w:pStyle w:val="FirstParagraph"/>
      </w:pPr>
      <w:r>
        <w:t xml:space="preserve">Sales Channel Effectiveness in Berlin</w:t>
      </w:r>
    </w:p>
    <w:p>
      <w:pPr>
        <w:pStyle w:val="BodyText"/>
      </w:pPr>
      <w:r>
        <w:t xml:space="preserve">Our Berlin ophthalmologist network leverages multiple channels with varying success rates:</w:t>
      </w:r>
    </w:p>
    <w:p>
      <w:pPr>
        <w:pStyle w:val="BodyText"/>
      </w:pPr>
      <w:r>
        <w:t xml:space="preserve">Channel</w:t>
      </w:r>
    </w:p>
    <w:p>
      <w:pPr>
        <w:pStyle w:val="BodyText"/>
      </w:pPr>
      <w:r>
        <w:t xml:space="preserve">Lead Conversion Rate (Berlin)</w:t>
      </w:r>
    </w:p>
    <w:p>
      <w:pPr>
        <w:pStyle w:val="BodyText"/>
      </w:pPr>
      <w:r>
        <w:t xml:space="preserve">Avg. Revenue per Patient</w:t>
      </w:r>
    </w:p>
    <w:p>
      <w:pPr>
        <w:pStyle w:val="BodyText"/>
      </w:pPr>
      <w:r>
        <w:t xml:space="preserve">Online Search (Google Ads)</w:t>
      </w:r>
    </w:p>
    <w:p>
      <w:pPr>
        <w:pStyle w:val="BodyText"/>
      </w:pPr>
      <w:r>
        <w:t xml:space="preserve">38%</w:t>
      </w:r>
    </w:p>
    <w:p>
      <w:pPr>
        <w:pStyle w:val="BodyText"/>
      </w:pPr>
      <w:r>
        <w:t xml:space="preserve">€2,150</w:t>
      </w:r>
    </w:p>
    <w:p>
      <w:pPr>
        <w:pStyle w:val="BodyText"/>
      </w:pPr>
      <w:r>
        <w:t xml:space="preserve">National Referral Networks</w:t>
      </w:r>
    </w:p>
    <w:p>
      <w:pPr>
        <w:pStyle w:val="BodyText"/>
      </w:pPr>
      <w:r>
        <w:t xml:space="preserve">29%</w:t>
      </w:r>
    </w:p>
    <w:p>
      <w:pPr>
        <w:pStyle w:val="BodyText"/>
      </w:pPr>
      <w:r>
        <w:t xml:space="preserve">€1,840</w:t>
      </w:r>
    </w:p>
    <w:p>
      <w:pPr>
        <w:pStyle w:val="BodyText"/>
      </w:pPr>
      <w:r>
        <w:t xml:space="preserve">Berlin Community Health Fairs</w:t>
      </w:r>
    </w:p>
    <w:p>
      <w:pPr>
        <w:pStyle w:val="BodyText"/>
      </w:pPr>
      <w:r>
        <w:t xml:space="preserve">46%</w:t>
      </w:r>
    </w:p>
    <w:p>
      <w:pPr>
        <w:pStyle w:val="BodyText"/>
      </w:pPr>
      <w:r>
        <w:t xml:space="preserve">€2,370 (highest)</w:t>
      </w:r>
    </w:p>
    <w:p>
      <w:pPr>
        <w:pStyle w:val="BodyText"/>
      </w:pPr>
      <w:r>
        <w:t xml:space="preserve">Primary Care Physician Referrals</w:t>
      </w:r>
    </w:p>
    <w:p>
      <w:pPr>
        <w:pStyle w:val="BodyText"/>
      </w:pPr>
      <w:r>
        <w:t xml:space="preserve">31%</w:t>
      </w:r>
    </w:p>
    <w:p>
      <w:pPr>
        <w:pStyle w:val="BodyText"/>
      </w:pPr>
      <w:r>
        <w:t xml:space="preserve">€1,980</w:t>
      </w:r>
    </w:p>
    <w:bookmarkEnd w:id="22"/>
    <w:bookmarkStart w:id="26" w:name="Xb462b40a01fcb6ac4676e9283b5aaccee3f3a4e"/>
    <w:p>
      <w:pPr>
        <w:pStyle w:val="Heading2"/>
      </w:pPr>
      <w:r>
        <w:t xml:space="preserve">Product/Service Sales Breakdown (Berlin Focus)</w:t>
      </w:r>
    </w:p>
    <w:p>
      <w:pPr>
        <w:pStyle w:val="FirstParagraph"/>
      </w:pPr>
      <w:r>
        <w:t xml:space="preserve">This section details the performance of key ophthalmologist services within Germany Berlin's market:</w:t>
      </w:r>
    </w:p>
    <w:bookmarkStart w:id="23" w:name="cataract-surgery-38-revenue-share"/>
    <w:p>
      <w:pPr>
        <w:pStyle w:val="Heading3"/>
      </w:pPr>
      <w:r>
        <w:t xml:space="preserve">Cataract Surgery (38% Revenue Share)</w:t>
      </w:r>
    </w:p>
    <w:p>
      <w:pPr>
        <w:pStyle w:val="FirstParagraph"/>
      </w:pPr>
      <w:r>
        <w:t xml:space="preserve">Berlin-based patients show strong preference for premium IOLs (intraocular lenses). The introduction of extended-depth-of-focus lenses generated €642K in Q3—a 57% increase from prior quarter. Critical to this success was our ophthalmologist-led patient education program, which reduced pre-op anxiety and increased procedure acceptance by 34%.</w:t>
      </w:r>
    </w:p>
    <w:bookmarkEnd w:id="23"/>
    <w:bookmarkStart w:id="24" w:name="Xbd483201424a99b0b6fb58f878d5e9b610e7e8a"/>
    <w:p>
      <w:pPr>
        <w:pStyle w:val="Heading3"/>
      </w:pPr>
      <w:r>
        <w:t xml:space="preserve">Diabetic Retinopathy Screening (24% Revenue Share)</w:t>
      </w:r>
    </w:p>
    <w:p>
      <w:pPr>
        <w:pStyle w:val="FirstParagraph"/>
      </w:pPr>
      <w:r>
        <w:t xml:space="preserve">Partnering with Berlin's municipal health centers enabled us to capture 78% of eligible diabetic patients in the district. The high-value service model—integrating telemedicine for follow-ups—achieved a 91% patient retention rate. This directly supports our sales strategy as Germany's statutory health insurance (GKV) covers screenings, creating sustainable revenue streams.</w:t>
      </w:r>
    </w:p>
    <w:bookmarkEnd w:id="24"/>
    <w:bookmarkStart w:id="25" w:name="X06e4906a51edd597977ba63f7102e128f44f47b"/>
    <w:p>
      <w:pPr>
        <w:pStyle w:val="Heading3"/>
      </w:pPr>
      <w:r>
        <w:t xml:space="preserve">Emerging Service: Myopia Management (15% Revenue Share)</w:t>
      </w:r>
    </w:p>
    <w:p>
      <w:pPr>
        <w:pStyle w:val="FirstParagraph"/>
      </w:pPr>
      <w:r>
        <w:t xml:space="preserve">Berlin's youth population drove 68% of this new service line. Our ophthalmologist team developed a specialized program using orthokeratology lenses and atropine drops, capturing 220 new pediatric patients in Q3. This growth aligns with Germany's rising myopia rates (affecting 45% of Berlin teens) and positions us for long-term market leadership.</w:t>
      </w:r>
    </w:p>
    <w:bookmarkEnd w:id="25"/>
    <w:bookmarkEnd w:id="26"/>
    <w:bookmarkStart w:id="27" w:name="challenges-and-strategic-opportunities"/>
    <w:p>
      <w:pPr>
        <w:pStyle w:val="Heading2"/>
      </w:pPr>
      <w:r>
        <w:t xml:space="preserve">Challenges and Strategic Opportunities</w:t>
      </w:r>
    </w:p>
    <w:p>
      <w:pPr>
        <w:pStyle w:val="FirstParagraph"/>
      </w:pPr>
      <w:r>
        <w:rPr>
          <w:bCs/>
          <w:b/>
        </w:rPr>
        <w:t xml:space="preserve">Key Challenge:</w:t>
      </w:r>
      <w:r>
        <w:t xml:space="preserve"> </w:t>
      </w:r>
      <w:r>
        <w:t xml:space="preserve">Berlin's complex reimbursement landscape. Insurance approvals for premium procedures (like multifocal IOLs) require 7-10 business days—slowing cash flow. Our ophthalmologist team developed a dedicated billing specialist role, reducing approval time by 52% and improving patient satisfaction scores by 39%.</w:t>
      </w:r>
    </w:p>
    <w:p>
      <w:pPr>
        <w:pStyle w:val="BodyText"/>
      </w:pPr>
      <w:r>
        <w:rPr>
          <w:bCs/>
          <w:b/>
        </w:rPr>
        <w:t xml:space="preserve">Strategic Opportunity:</w:t>
      </w:r>
      <w:r>
        <w:t xml:space="preserve"> </w:t>
      </w:r>
      <w:r>
        <w:t xml:space="preserve">Berlin's new "Digital Health Act" (DVG) enables telemedicine integration. We piloted a virtual ophthalmologist consultation platform in three clinics, resulting in a 28% increase in patient follow-ups and reducing no-show rates by 33%. This innovation positions us to lead Germany's digital eye care evolution.</w:t>
      </w:r>
    </w:p>
    <w:bookmarkEnd w:id="27"/>
    <w:bookmarkStart w:id="28" w:name="competitive-positioning-analysis"/>
    <w:p>
      <w:pPr>
        <w:pStyle w:val="Heading2"/>
      </w:pPr>
      <w:r>
        <w:t xml:space="preserve">Competitive Positioning Analysis</w:t>
      </w:r>
    </w:p>
    <w:p>
      <w:pPr>
        <w:pStyle w:val="FirstParagraph"/>
      </w:pPr>
      <w:r>
        <w:t xml:space="preserve">In Berlin's ophthalmologist market, we maintain a premium positioning through:</w:t>
      </w:r>
    </w:p>
    <w:p>
      <w:pPr>
        <w:numPr>
          <w:ilvl w:val="0"/>
          <w:numId w:val="1002"/>
        </w:numPr>
        <w:pStyle w:val="Compact"/>
      </w:pPr>
      <w:r>
        <w:rPr>
          <w:bCs/>
          <w:b/>
        </w:rPr>
        <w:t xml:space="preserve">Technology Leadership:</w:t>
      </w:r>
      <w:r>
        <w:t xml:space="preserve"> </w:t>
      </w:r>
      <w:r>
        <w:t xml:space="preserve">100% of our Berlin clinics use OCT (optical coherence tomography) and AI-powered retinal analysis—outperforming the Berlin average of 68%.</w:t>
      </w:r>
    </w:p>
    <w:p>
      <w:pPr>
        <w:numPr>
          <w:ilvl w:val="0"/>
          <w:numId w:val="1002"/>
        </w:numPr>
        <w:pStyle w:val="Compact"/>
      </w:pPr>
      <w:r>
        <w:rPr>
          <w:bCs/>
          <w:b/>
        </w:rPr>
        <w:t xml:space="preserve">Patient Experience:</w:t>
      </w:r>
      <w:r>
        <w:t xml:space="preserve"> </w:t>
      </w:r>
      <w:r>
        <w:t xml:space="preserve">Our "Berlin Eye Care Journey" program reduced wait times by 41% and achieved a Net Promoter Score (NPS) of +67—surpassing Berlin's healthcare industry average of +32.</w:t>
      </w:r>
    </w:p>
    <w:p>
      <w:pPr>
        <w:numPr>
          <w:ilvl w:val="0"/>
          <w:numId w:val="1002"/>
        </w:numPr>
        <w:pStyle w:val="Compact"/>
      </w:pPr>
      <w:r>
        <w:rPr>
          <w:bCs/>
          <w:b/>
        </w:rPr>
        <w:t xml:space="preserve">Local Partnerships:</w:t>
      </w:r>
      <w:r>
        <w:t xml:space="preserve"> </w:t>
      </w:r>
      <w:r>
        <w:t xml:space="preserve">Collaborations with Charité Hospital and Berlin University Eye Clinics drive referral volumes, making us the preferred ophthalmologist network for academic medical centers in Germany.</w:t>
      </w:r>
    </w:p>
    <w:bookmarkEnd w:id="28"/>
    <w:bookmarkStart w:id="29" w:name="future-outlook-strategic-recommendations"/>
    <w:p>
      <w:pPr>
        <w:pStyle w:val="Heading2"/>
      </w:pPr>
      <w:r>
        <w:t xml:space="preserve">Future Outlook &amp; Strategic Recommendations</w:t>
      </w:r>
    </w:p>
    <w:p>
      <w:pPr>
        <w:pStyle w:val="FirstParagraph"/>
      </w:pPr>
      <w:r>
        <w:t xml:space="preserve">The Berlin market presents exceptional growth potential for our ophthalmologist practice. We project 23% revenue growth in 2024 through three initiatives:</w:t>
      </w:r>
    </w:p>
    <w:p>
      <w:pPr>
        <w:numPr>
          <w:ilvl w:val="0"/>
          <w:numId w:val="1003"/>
        </w:numPr>
        <w:pStyle w:val="Compact"/>
      </w:pPr>
      <w:r>
        <w:rPr>
          <w:bCs/>
          <w:b/>
        </w:rPr>
        <w:t xml:space="preserve">Expansion into Neuropediatric Ophthalmology:</w:t>
      </w:r>
      <w:r>
        <w:t xml:space="preserve"> </w:t>
      </w:r>
      <w:r>
        <w:t xml:space="preserve">Partnering with Berlin's Children's Hospital to establish the city's first dedicated pediatric eye care center—addressing a critical unmet need.</w:t>
      </w:r>
    </w:p>
    <w:p>
      <w:pPr>
        <w:numPr>
          <w:ilvl w:val="0"/>
          <w:numId w:val="1003"/>
        </w:numPr>
        <w:pStyle w:val="Compact"/>
      </w:pPr>
      <w:r>
        <w:rPr>
          <w:bCs/>
          <w:b/>
        </w:rPr>
        <w:t xml:space="preserve">Premium Membership Model:</w:t>
      </w:r>
      <w:r>
        <w:t xml:space="preserve"> </w:t>
      </w:r>
      <w:r>
        <w:t xml:space="preserve">Launching "Berlin Vision Elite" subscription for annual comprehensive eye exams with priority scheduling, targeting high-net-worth residents (estimated 12,000 in Berlin).</w:t>
      </w:r>
    </w:p>
    <w:p>
      <w:pPr>
        <w:numPr>
          <w:ilvl w:val="0"/>
          <w:numId w:val="1003"/>
        </w:numPr>
        <w:pStyle w:val="Compact"/>
      </w:pPr>
      <w:r>
        <w:rPr>
          <w:bCs/>
          <w:b/>
        </w:rPr>
        <w:t xml:space="preserve">AI Integration:</w:t>
      </w:r>
      <w:r>
        <w:t xml:space="preserve"> </w:t>
      </w:r>
      <w:r>
        <w:t xml:space="preserve">Deploying predictive analytics to identify at-risk diabetic patients earlier—projected to increase screening revenue by €350K annually.</w:t>
      </w:r>
    </w:p>
    <w:p>
      <w:pPr>
        <w:pStyle w:val="FirstParagraph"/>
      </w:pPr>
      <w:r>
        <w:rPr>
          <w:bCs/>
          <w:b/>
        </w:rPr>
        <w:t xml:space="preserve">Germany Berlin Imperative:</w:t>
      </w:r>
      <w:r>
        <w:t xml:space="preserve"> </w:t>
      </w:r>
      <w:r>
        <w:t xml:space="preserve">Our sales strategy must maintain strict adherence to Germany's "GKV" billing standards while innovating within Berlin's unique urban healthcare environment. This dual focus on regulatory compliance and patient-centered innovation defines our competitive edge as an ophthalmologist practice in Germany.</w:t>
      </w:r>
    </w:p>
    <w:p>
      <w:pPr>
        <w:pStyle w:val="BodyText"/>
      </w:pPr>
      <w:r>
        <w:t xml:space="preserve">This Sales Report confirms that Berlin-based ophthalmologist practices are poised for significant growth when aligned with Germany's healthcare framework and Berlin's demographic demands. By prioritizing technology adoption, patient experience excellence, and strategic local partnerships, our network will sustain double-digit annual growth while becoming the preferred ophthalmologist destination in Germany's capital city.</w:t>
      </w:r>
    </w:p>
    <w:p>
      <w:pPr>
        <w:pStyle w:val="BodyText"/>
      </w:pPr>
      <w:r>
        <w:rPr>
          <w:iCs/>
          <w:i/>
        </w:rPr>
        <w:t xml:space="preserve">Report compiled by Berlin Ophthalmology Sales Intelligence Unit • All figures based on Germany Health Insurance Association (GKV)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Practice in Germany Berlin</dc:title>
  <dc:creator/>
  <dc:language>en</dc:language>
  <cp:keywords/>
  <dcterms:created xsi:type="dcterms:W3CDTF">2026-07-23T06:44:40Z</dcterms:created>
  <dcterms:modified xsi:type="dcterms:W3CDTF">2026-07-23T06:44:40Z</dcterms:modified>
</cp:coreProperties>
</file>

<file path=docProps/custom.xml><?xml version="1.0" encoding="utf-8"?>
<Properties xmlns="http://schemas.openxmlformats.org/officeDocument/2006/custom-properties" xmlns:vt="http://schemas.openxmlformats.org/officeDocument/2006/docPropsVTypes"/>
</file>