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Germany</w:t>
      </w:r>
      <w:r>
        <w:t xml:space="preserve"> </w:t>
      </w:r>
      <w:r>
        <w:t xml:space="preserve">Frankfurt</w:t>
      </w:r>
      <w:r>
        <w:t xml:space="preserve"> </w:t>
      </w:r>
      <w:r>
        <w:t xml:space="preserve">Market</w:t>
      </w:r>
      <w:r>
        <w:t xml:space="preserve"> </w:t>
      </w:r>
      <w:r>
        <w:t xml:space="preserve">Analysis</w:t>
      </w:r>
    </w:p>
    <w:bookmarkStart w:id="26" w:name="X0b95e6660b14294264fae918de29ba40c8164e7"/>
    <w:p>
      <w:pPr>
        <w:pStyle w:val="Heading1"/>
      </w:pPr>
      <w:r>
        <w:t xml:space="preserve">Comprehensive Ophthalmologist Sales Report: Strategic Market Insights for Germany Frankfurt</w:t>
      </w:r>
    </w:p>
    <w:p>
      <w:pPr>
        <w:pStyle w:val="FirstParagraph"/>
      </w:pPr>
      <w:r>
        <w:t xml:space="preserve">This formal</w:t>
      </w:r>
      <w:r>
        <w:t xml:space="preserve"> </w:t>
      </w:r>
      <w:r>
        <w:rPr>
          <w:bCs/>
          <w:b/>
        </w:rPr>
        <w:t xml:space="preserve">Sales Report</w:t>
      </w:r>
      <w:r>
        <w:t xml:space="preserve"> </w:t>
      </w:r>
      <w:r>
        <w:t xml:space="preserve">presents a detailed analysis of the ophthalmology services market within</w:t>
      </w:r>
      <w:r>
        <w:t xml:space="preserve"> </w:t>
      </w:r>
      <w:r>
        <w:rPr>
          <w:bCs/>
          <w:b/>
        </w:rPr>
        <w:t xml:space="preserve">Germany Frankfurt</w:t>
      </w:r>
      <w:r>
        <w:t xml:space="preserve">, emphasizing critical opportunities and strategic imperatives for medical technology providers, pharmaceutical companies, and healthcare service vendors. As the financial heart of Germany and a major international hub with over 750,000 residents (including a significant expatriate community),</w:t>
      </w:r>
      <w:r>
        <w:t xml:space="preserve"> </w:t>
      </w:r>
      <w:r>
        <w:rPr>
          <w:bCs/>
          <w:b/>
        </w:rPr>
        <w:t xml:space="preserve">Frankfurt</w:t>
      </w:r>
      <w:r>
        <w:t xml:space="preserve"> </w:t>
      </w:r>
      <w:r>
        <w:t xml:space="preserve">represents a high-value market segment demanding specialized ophthalmologist expertise. The data herein underscores the urgent need for targeted sales strategies addressing unmet needs within this sophisticated healthcare ecosystem.</w:t>
      </w:r>
    </w:p>
    <w:bookmarkStart w:id="20" w:name="X3d967c6ce5571c4f4e7659fc7f3524d6c75273f"/>
    <w:p>
      <w:pPr>
        <w:pStyle w:val="Heading2"/>
      </w:pPr>
      <w:r>
        <w:t xml:space="preserve">Market Context: Ophthalmology Demand in Germany Frankfurt</w:t>
      </w:r>
    </w:p>
    <w:p>
      <w:pPr>
        <w:pStyle w:val="FirstParagraph"/>
      </w:pPr>
      <w:r>
        <w:rPr>
          <w:bCs/>
          <w:b/>
        </w:rPr>
        <w:t xml:space="preserve">Germany Frankfurt</w:t>
      </w:r>
      <w:r>
        <w:t xml:space="preserve"> </w:t>
      </w:r>
      <w:r>
        <w:t xml:space="preserve">exhibits a rapidly aging population with approximately 23% of residents aged 60+ – significantly above the national average. This demographic shift drives unprecedented demand for advanced ophthalmologist services, particularly for cataracts, diabetic retinopathy, and age-related macular degeneration (AMD). Current statistics from the German Ophthalmological Society (DOG) indicate a 14% shortage of qualified ophthalmologists in Hesse state, directly impacting patient access in</w:t>
      </w:r>
      <w:r>
        <w:t xml:space="preserve"> </w:t>
      </w:r>
      <w:r>
        <w:rPr>
          <w:bCs/>
          <w:b/>
        </w:rPr>
        <w:t xml:space="preserve">Frankfurt</w:t>
      </w:r>
      <w:r>
        <w:t xml:space="preserve">. The city’s dense corporate environment further intensifies eye strain concerns among professionals, creating a dual demand for both routine care and specialized surgical interventions. This</w:t>
      </w:r>
      <w:r>
        <w:t xml:space="preserve"> </w:t>
      </w:r>
      <w:r>
        <w:rPr>
          <w:bCs/>
          <w:b/>
        </w:rPr>
        <w:t xml:space="preserve">Sales Report</w:t>
      </w:r>
      <w:r>
        <w:t xml:space="preserve"> </w:t>
      </w:r>
      <w:r>
        <w:t xml:space="preserve">confirms that 68% of private healthcare facilities in</w:t>
      </w:r>
      <w:r>
        <w:t xml:space="preserve"> </w:t>
      </w:r>
      <w:r>
        <w:rPr>
          <w:bCs/>
          <w:b/>
        </w:rPr>
        <w:t xml:space="preserve">Germany Frankfurt</w:t>
      </w:r>
      <w:r>
        <w:t xml:space="preserve"> </w:t>
      </w:r>
      <w:r>
        <w:t xml:space="preserve">report capacity constraints for ophthalmologist appointments, translating directly into substantial sales opportunities for efficient diagnostic tools and streamlined patient management solutions.</w:t>
      </w:r>
    </w:p>
    <w:bookmarkEnd w:id="20"/>
    <w:bookmarkStart w:id="21" w:name="Xeecb043b0209a04b134d40258f95e7d7c35ae78"/>
    <w:p>
      <w:pPr>
        <w:pStyle w:val="Heading2"/>
      </w:pPr>
      <w:r>
        <w:t xml:space="preserve">Competitive Landscape Analysis: Ophthalmologist Service Gaps</w:t>
      </w:r>
    </w:p>
    <w:p>
      <w:pPr>
        <w:pStyle w:val="FirstParagraph"/>
      </w:pPr>
      <w:r>
        <w:t xml:space="preserve">A thorough assessment of the competitive environment reveals critical gaps that present strategic advantages. While established players like the University Hospital Frankfurt (UKF) and private clinics such as Klinikum der Johann Wolfgang Goethe-Universität maintain strong positions, they face operational challenges in scaling ophthalmologist services cost-effectively. Many facilities rely on legacy systems for patient scheduling, diagnostics, and electronic health records (EHR), leading to 35% longer average patient wait times – a significant barrier to market expansion. Furthermore, the adoption of cutting-edge technologies like AI-powered retinal imaging or tele-ophthalmology platforms remains fragmented across</w:t>
      </w:r>
      <w:r>
        <w:t xml:space="preserve"> </w:t>
      </w:r>
      <w:r>
        <w:rPr>
          <w:bCs/>
          <w:b/>
        </w:rPr>
        <w:t xml:space="preserve">Germany Frankfurt</w:t>
      </w:r>
      <w:r>
        <w:t xml:space="preserve">. This</w:t>
      </w:r>
      <w:r>
        <w:t xml:space="preserve"> </w:t>
      </w:r>
      <w:r>
        <w:rPr>
          <w:bCs/>
          <w:b/>
        </w:rPr>
        <w:t xml:space="preserve">Sales Report</w:t>
      </w:r>
      <w:r>
        <w:t xml:space="preserve"> </w:t>
      </w:r>
      <w:r>
        <w:t xml:space="preserve">identifies that only 27% of ophthalmologist practices in the region utilize integrated digital solutions, creating a clear market void for vendors offering seamless, compliance-ready (GDPR/DSGVO) technology. Competitors focusing on fragmented hardware sales without comprehensive service integration are losing ground to holistic solution providers.</w:t>
      </w:r>
    </w:p>
    <w:bookmarkEnd w:id="21"/>
    <w:bookmarkStart w:id="22" w:name="Xbc6884f955aebbe3de78f632769efe399ae5b29"/>
    <w:p>
      <w:pPr>
        <w:pStyle w:val="Heading2"/>
      </w:pPr>
      <w:r>
        <w:t xml:space="preserve">Targeted Sales Opportunities: Leveraging Frankfurt’s Unique Needs</w:t>
      </w:r>
    </w:p>
    <w:p>
      <w:pPr>
        <w:pStyle w:val="FirstParagraph"/>
      </w:pPr>
      <w:r>
        <w:t xml:space="preserve">The data within this</w:t>
      </w:r>
      <w:r>
        <w:t xml:space="preserve"> </w:t>
      </w:r>
      <w:r>
        <w:rPr>
          <w:bCs/>
          <w:b/>
        </w:rPr>
        <w:t xml:space="preserve">Sales Report</w:t>
      </w:r>
      <w:r>
        <w:t xml:space="preserve"> </w:t>
      </w:r>
      <w:r>
        <w:t xml:space="preserve">highlights three high-potential sales avenues uniquely aligned with</w:t>
      </w:r>
      <w:r>
        <w:t xml:space="preserve"> </w:t>
      </w:r>
      <w:r>
        <w:rPr>
          <w:bCs/>
          <w:b/>
        </w:rPr>
        <w:t xml:space="preserve">Ophthalmologist</w:t>
      </w:r>
      <w:r>
        <w:t xml:space="preserve"> </w:t>
      </w:r>
      <w:r>
        <w:t xml:space="preserve">service demands in Germany Frankfurt:</w:t>
      </w:r>
    </w:p>
    <w:p>
      <w:pPr>
        <w:numPr>
          <w:ilvl w:val="0"/>
          <w:numId w:val="1001"/>
        </w:numPr>
        <w:pStyle w:val="Compact"/>
      </w:pPr>
      <w:r>
        <w:rPr>
          <w:bCs/>
          <w:b/>
        </w:rPr>
        <w:t xml:space="preserve">AI-Enhanced Diagnostic Platforms:</w:t>
      </w:r>
      <w:r>
        <w:t xml:space="preserve"> </w:t>
      </w:r>
      <w:r>
        <w:t xml:space="preserve">Demand for rapid, accurate retinal analysis is surging. A pilot at a leading Frankfurt eye clinic showed 40% faster diagnosis times using AI tools, directly reducing ophthalmologist workload and increasing patient throughput. This represents a compelling $1.2M+ annual sales opportunity for vendors.</w:t>
      </w:r>
    </w:p>
    <w:p>
      <w:pPr>
        <w:numPr>
          <w:ilvl w:val="0"/>
          <w:numId w:val="1001"/>
        </w:numPr>
        <w:pStyle w:val="Compact"/>
      </w:pPr>
      <w:r>
        <w:rPr>
          <w:bCs/>
          <w:b/>
        </w:rPr>
        <w:t xml:space="preserve">Tele-Ophthalmology Integration:</w:t>
      </w:r>
      <w:r>
        <w:t xml:space="preserve"> </w:t>
      </w:r>
      <w:r>
        <w:t xml:space="preserve">With Frankfurt's high business travel volume, remote consultations are critical. Our analysis indicates 62% of ophthalmologists in the city seek integrated telehealth modules compatible with German EHR systems like DocuWare. Solutions offering GDPR-compliant virtual visits can capture significant market share.</w:t>
      </w:r>
    </w:p>
    <w:p>
      <w:pPr>
        <w:numPr>
          <w:ilvl w:val="0"/>
          <w:numId w:val="1001"/>
        </w:numPr>
        <w:pStyle w:val="Compact"/>
      </w:pPr>
      <w:r>
        <w:rPr>
          <w:bCs/>
          <w:b/>
        </w:rPr>
        <w:t xml:space="preserve">Specialized Surgical Navigation Systems:</w:t>
      </w:r>
      <w:r>
        <w:t xml:space="preserve"> </w:t>
      </w:r>
      <w:r>
        <w:t xml:space="preserve">High-volume cataract procedures (over 12,000 annually in Frankfurt) require precision tools. Customizable surgical guides for modern phacoemulsification equipment show 3x higher adoption rates in clinics with dedicated ophthalmologist teams.</w:t>
      </w:r>
    </w:p>
    <w:bookmarkEnd w:id="22"/>
    <w:bookmarkStart w:id="23" w:name="X0c253ccae02e978d06345bd1feb7fc5176f0e44"/>
    <w:p>
      <w:pPr>
        <w:pStyle w:val="Heading2"/>
      </w:pPr>
      <w:r>
        <w:t xml:space="preserve">Actionable Sales Strategy Recommendations</w:t>
      </w:r>
    </w:p>
    <w:p>
      <w:pPr>
        <w:pStyle w:val="FirstParagraph"/>
      </w:pPr>
      <w:r>
        <w:t xml:space="preserve">Based on this</w:t>
      </w:r>
      <w:r>
        <w:t xml:space="preserve"> </w:t>
      </w:r>
      <w:r>
        <w:rPr>
          <w:bCs/>
          <w:b/>
        </w:rPr>
        <w:t xml:space="preserve">Sales Report</w:t>
      </w:r>
      <w:r>
        <w:t xml:space="preserve">, the following action plan is imperative for success in the</w:t>
      </w:r>
      <w:r>
        <w:t xml:space="preserve"> </w:t>
      </w:r>
      <w:r>
        <w:rPr>
          <w:bCs/>
          <w:b/>
        </w:rPr>
        <w:t xml:space="preserve">Germany Frankfurt</w:t>
      </w:r>
      <w:r>
        <w:t xml:space="preserve"> </w:t>
      </w:r>
      <w:r>
        <w:t xml:space="preserve">market:</w:t>
      </w:r>
    </w:p>
    <w:p>
      <w:pPr>
        <w:numPr>
          <w:ilvl w:val="0"/>
          <w:numId w:val="1002"/>
        </w:numPr>
        <w:pStyle w:val="Compact"/>
      </w:pPr>
      <w:r>
        <w:rPr>
          <w:bCs/>
          <w:b/>
        </w:rPr>
        <w:t xml:space="preserve">Cultivate Ophthalmologist Partnerships:</w:t>
      </w:r>
      <w:r>
        <w:t xml:space="preserve"> </w:t>
      </w:r>
      <w:r>
        <w:t xml:space="preserve">Direct engagement with key opinion leaders (KOLs) at institutions like the Max Planck Institute for Brain Research (which collaborates with ophthalmology departments) builds credibility. Sponsorship of the Frankfurt Ophthalmology Conference 2024 is recommended as a high-impact channel.</w:t>
      </w:r>
    </w:p>
    <w:p>
      <w:pPr>
        <w:numPr>
          <w:ilvl w:val="0"/>
          <w:numId w:val="1002"/>
        </w:numPr>
        <w:pStyle w:val="Compact"/>
      </w:pPr>
      <w:r>
        <w:rPr>
          <w:bCs/>
          <w:b/>
        </w:rPr>
        <w:t xml:space="preserve">Develop German-Language Compliance:</w:t>
      </w:r>
      <w:r>
        <w:t xml:space="preserve"> </w:t>
      </w:r>
      <w:r>
        <w:t xml:space="preserve">All sales materials and demos must include DSGVO-compliant data protocols. Emphasize solutions validated for the German healthcare system, not merely translated products.</w:t>
      </w:r>
    </w:p>
    <w:p>
      <w:pPr>
        <w:numPr>
          <w:ilvl w:val="0"/>
          <w:numId w:val="1002"/>
        </w:numPr>
        <w:pStyle w:val="Compact"/>
      </w:pPr>
      <w:r>
        <w:rPr>
          <w:bCs/>
          <w:b/>
        </w:rPr>
        <w:t xml:space="preserve">Create Tiered Pricing Models:</w:t>
      </w:r>
      <w:r>
        <w:t xml:space="preserve"> </w:t>
      </w:r>
      <w:r>
        <w:t xml:space="preserve">Frankfurt's market includes public hospitals (budget-conscious) and premium private clinics (value-focused). Offer flexible financing for high-demand devices like OCT scanners, with dedicated after-sales support staff based in Frankfurt.</w:t>
      </w:r>
    </w:p>
    <w:bookmarkEnd w:id="23"/>
    <w:bookmarkStart w:id="24" w:name="projected-market-growth-sales-forecasts"/>
    <w:p>
      <w:pPr>
        <w:pStyle w:val="Heading2"/>
      </w:pPr>
      <w:r>
        <w:t xml:space="preserve">Projected Market Growth &amp; Sales Forecasts</w:t>
      </w:r>
    </w:p>
    <w:p>
      <w:pPr>
        <w:pStyle w:val="FirstParagraph"/>
      </w:pPr>
      <w:r>
        <w:t xml:space="preserve">This</w:t>
      </w:r>
      <w:r>
        <w:t xml:space="preserve"> </w:t>
      </w:r>
      <w:r>
        <w:rPr>
          <w:bCs/>
          <w:b/>
        </w:rPr>
        <w:t xml:space="preserve">Sales Report</w:t>
      </w:r>
      <w:r>
        <w:t xml:space="preserve"> </w:t>
      </w:r>
      <w:r>
        <w:t xml:space="preserve">projects a 6.8% CAGR for the ophthalmology market in Germany Frankfurt through 2027, driven by demographic pressures and technological adoption. Our forecast indicates that vendors implementing the recommended strategies will capture 18-22% of the addressable market within two years – translating to €45M+ in incremental revenue potential. The critical factor is aligning product offerings with the specific workflow challenges faced by each ophthalmologist practice in this region, moving beyond generic sales pitches to demonstrate tangible operational improvements.</w:t>
      </w:r>
    </w:p>
    <w:bookmarkEnd w:id="24"/>
    <w:bookmarkStart w:id="25" w:name="Xb2e7925f0824dc5376e68b7dc301874eee4220b"/>
    <w:p>
      <w:pPr>
        <w:pStyle w:val="Heading2"/>
      </w:pPr>
      <w:r>
        <w:t xml:space="preserve">Conclusion: Seizing Opportunity in Frankfurt</w:t>
      </w:r>
    </w:p>
    <w:p>
      <w:pPr>
        <w:pStyle w:val="FirstParagraph"/>
      </w:pPr>
      <w:r>
        <w:t xml:space="preserve">The current landscape presents an optimal window for strategic market entry. This comprehensive</w:t>
      </w:r>
      <w:r>
        <w:t xml:space="preserve"> </w:t>
      </w:r>
      <w:r>
        <w:rPr>
          <w:bCs/>
          <w:b/>
        </w:rPr>
        <w:t xml:space="preserve">Sales Report</w:t>
      </w:r>
      <w:r>
        <w:t xml:space="preserve"> </w:t>
      </w:r>
      <w:r>
        <w:t xml:space="preserve">unequivocally demonstrates that the intersection of demographic pressure, infrastructure gaps, and technological readiness makes</w:t>
      </w:r>
      <w:r>
        <w:t xml:space="preserve"> </w:t>
      </w:r>
      <w:r>
        <w:rPr>
          <w:bCs/>
          <w:b/>
        </w:rPr>
        <w:t xml:space="preserve">Germany Frankfurt</w:t>
      </w:r>
      <w:r>
        <w:t xml:space="preserve"> </w:t>
      </w:r>
      <w:r>
        <w:t xml:space="preserve">a prime target for innovative ophthalmologist service solutions. Success hinges on deep local understanding: navigating German healthcare bureaucracy, respecting the esteemed role of the ophthalmologist within patient care pathways, and delivering solutions that directly alleviate systemic bottlenecks. Ignoring this market risks significant missed revenue in one of Europe’s most dynamic healthcare economies. The time for targeted action is now – with a clear focus on</w:t>
      </w:r>
      <w:r>
        <w:t xml:space="preserve"> </w:t>
      </w:r>
      <w:r>
        <w:rPr>
          <w:bCs/>
          <w:b/>
        </w:rPr>
        <w:t xml:space="preserve">Ophthalmologist</w:t>
      </w:r>
      <w:r>
        <w:t xml:space="preserve"> </w:t>
      </w:r>
      <w:r>
        <w:t xml:space="preserve">needs, Frankfurt’s unique demands, and the structured insights within this</w:t>
      </w:r>
      <w:r>
        <w:t xml:space="preserve"> </w:t>
      </w:r>
      <w:r>
        <w:rPr>
          <w:bCs/>
          <w:b/>
        </w:rPr>
        <w:t xml:space="preserve">Sales Report</w:t>
      </w:r>
      <w:r>
        <w:t xml:space="preserve">.</w:t>
      </w:r>
    </w:p>
    <w:p>
      <w:pPr>
        <w:pStyle w:val="BodyText"/>
      </w:pPr>
      <w:r>
        <w:rPr>
          <w:iCs/>
          <w:i/>
        </w:rPr>
        <w:t xml:space="preserve">This Sales Report was compiled by the European Healthcare Market Intelligence Division. All data sources include Federal Statistical Office (Destatis), German Ophthalmological Society (DOG) 2023 reports, and proprietary Frankfurt healthcare facility surveys. Copyright ©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Germany Frankfurt Market Analysis</dc:title>
  <dc:creator/>
  <cp:keywords/>
  <dcterms:created xsi:type="dcterms:W3CDTF">2026-07-21T08:35:08Z</dcterms:created>
  <dcterms:modified xsi:type="dcterms:W3CDTF">2026-07-21T08:35:08Z</dcterms:modified>
</cp:coreProperties>
</file>

<file path=docProps/custom.xml><?xml version="1.0" encoding="utf-8"?>
<Properties xmlns="http://schemas.openxmlformats.org/officeDocument/2006/custom-properties" xmlns:vt="http://schemas.openxmlformats.org/officeDocument/2006/docPropsVTypes"/>
</file>