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Ophthalmology</w:t>
      </w:r>
      <w:r>
        <w:t xml:space="preserve"> </w:t>
      </w:r>
      <w:r>
        <w:t xml:space="preserve">Practice</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30" w:name="X30dc80c16855a4649024fa7c018379d507b7396"/>
    <w:p>
      <w:pPr>
        <w:pStyle w:val="Heading1"/>
      </w:pPr>
      <w:r>
        <w:t xml:space="preserve">Quarterly Sales Report: Ophthalmology Practice Performance in Germany Munich</w:t>
      </w:r>
    </w:p>
    <w:p>
      <w:pPr>
        <w:pStyle w:val="FirstParagraph"/>
      </w:pPr>
      <w:r>
        <w:t xml:space="preserve">Prepared for Executive Leadership | Q3 2023 | Ophthalmology Division, Munich, Germany</w:t>
      </w:r>
    </w:p>
    <w:bookmarkStart w:id="20" w:name="executive-summary"/>
    <w:p>
      <w:pPr>
        <w:pStyle w:val="Heading2"/>
      </w:pPr>
      <w:r>
        <w:t xml:space="preserve">Executive Summary</w:t>
      </w:r>
    </w:p>
    <w:p>
      <w:pPr>
        <w:pStyle w:val="FirstParagraph"/>
      </w:pPr>
      <w:r>
        <w:t xml:space="preserve">This comprehensive Sales Report details the exceptional performance of our ophthalmology practice in Germany Munich during the third quarter of 2023. Under the expert leadership of our chief ophthalmologist, Dr. Eva Schmidt, we achieved a remarkable 18% year-over-year revenue growth, solidifying our position as Munich's most trusted eye care provider. The Sales Report demonstrates how strategic investments in cutting-edge technology and patient-centered services have driven unprecedented success in the competitive healthcare landscape of Germany Munich.</w:t>
      </w:r>
    </w:p>
    <w:bookmarkEnd w:id="20"/>
    <w:bookmarkStart w:id="21" w:name="key-performance-indicators"/>
    <w:p>
      <w:pPr>
        <w:pStyle w:val="Heading2"/>
      </w:pPr>
      <w:r>
        <w:t xml:space="preserve">Key Performance Indicators</w:t>
      </w:r>
    </w:p>
    <w:p>
      <w:pPr>
        <w:pStyle w:val="FirstParagraph"/>
      </w:pPr>
      <w:r>
        <w:t xml:space="preserve">The Sales Report highlights several critical metrics that underscore our market dominance in Munich. Total revenue reached €2.17 million, a 19% increase from Q3 2022, with surgical procedures contributing 63% of total sales. Patient volume surged to 4,850 consultations (up 17% YoY), reflecting the growing trust in our ophthalmologist's expertise among Munich residents. Notable achievements include:</w:t>
      </w:r>
    </w:p>
    <w:p>
      <w:pPr>
        <w:numPr>
          <w:ilvl w:val="0"/>
          <w:numId w:val="1001"/>
        </w:numPr>
        <w:pStyle w:val="Compact"/>
      </w:pPr>
      <w:r>
        <w:t xml:space="preserve">108% growth in premium LASIK procedures due to new femtosecond laser technology</w:t>
      </w:r>
    </w:p>
    <w:p>
      <w:pPr>
        <w:numPr>
          <w:ilvl w:val="0"/>
          <w:numId w:val="1001"/>
        </w:numPr>
        <w:pStyle w:val="Compact"/>
      </w:pPr>
      <w:r>
        <w:t xml:space="preserve">96.7% patient retention rate (vs. industry average of 85%)</w:t>
      </w:r>
    </w:p>
    <w:p>
      <w:pPr>
        <w:numPr>
          <w:ilvl w:val="0"/>
          <w:numId w:val="1001"/>
        </w:numPr>
        <w:pStyle w:val="Compact"/>
      </w:pPr>
      <w:r>
        <w:t xml:space="preserve">42% increase in referrals from Munich-based primary care physicians</w:t>
      </w:r>
    </w:p>
    <w:p>
      <w:pPr>
        <w:numPr>
          <w:ilvl w:val="0"/>
          <w:numId w:val="1001"/>
        </w:numPr>
        <w:pStyle w:val="Compact"/>
      </w:pPr>
      <w:r>
        <w:t xml:space="preserve">Record-breaking revenue from diabetic retinopathy screening services (+31%)</w:t>
      </w:r>
    </w:p>
    <w:bookmarkEnd w:id="21"/>
    <w:bookmarkStart w:id="22" w:name="X135514dba2b061b9afebc1fb8b9abc1646c1265"/>
    <w:p>
      <w:pPr>
        <w:pStyle w:val="Heading2"/>
      </w:pPr>
      <w:r>
        <w:t xml:space="preserve">Market Analysis: Germany Munich Eye Care Landscape</w:t>
      </w:r>
    </w:p>
    <w:p>
      <w:pPr>
        <w:pStyle w:val="FirstParagraph"/>
      </w:pPr>
      <w:r>
        <w:t xml:space="preserve">The Sales Report reveals that Germany Munich represents a high-potential market for specialized ophthalmology services. With a population of 1.5 million and an aging demographic (17% over 60), demand for advanced eye care has intensified. Our analysis shows Munich's ophthalmology market grew at 9% annually, significantly outpacing the national average of 5%. The key differentiator for our practice is the unparalleled expertise of our lead ophthalmologist, who brings 22 years of specialized experience in complex retinal surgeries and minimally invasive cataract procedures.</w:t>
      </w:r>
    </w:p>
    <w:p>
      <w:pPr>
        <w:pStyle w:val="BodyText"/>
      </w:pPr>
      <w:r>
        <w:t xml:space="preserve">Competitor analysis within Germany Munich indicates that only three practices offer comparable technology investments. Our strategic advantage lies in the seamless integration of AI-driven diagnostic tools with personalized patient care—a model our ophthalmologist pioneered during her tenure at University Hospital Munich. This approach has directly contributed to our 27% higher average revenue per patient compared to regional competitors.</w:t>
      </w:r>
    </w:p>
    <w:bookmarkEnd w:id="22"/>
    <w:bookmarkStart w:id="23" w:name="service-revenue-breakdown"/>
    <w:p>
      <w:pPr>
        <w:pStyle w:val="Heading2"/>
      </w:pPr>
      <w:r>
        <w:t xml:space="preserve">Service Revenue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w:t>
            </w:r>
          </w:p>
        </w:tc>
        <w:tc>
          <w:tcPr/>
          <w:p>
            <w:pPr>
              <w:pStyle w:val="Compact"/>
              <w:jc w:val="left"/>
            </w:pPr>
            <w:r>
              <w:t xml:space="preserve">% of Total Sales</w:t>
            </w:r>
          </w:p>
        </w:tc>
        <w:tc>
          <w:tcPr/>
          <w:p>
            <w:pPr>
              <w:pStyle w:val="Compact"/>
              <w:jc w:val="left"/>
            </w:pPr>
            <w:r>
              <w:t xml:space="preserve">Growth vs. Q3 2022</w:t>
            </w:r>
          </w:p>
        </w:tc>
      </w:tr>
      <w:tr>
        <w:tc>
          <w:tcPr/>
          <w:p>
            <w:pPr>
              <w:pStyle w:val="Compact"/>
              <w:jc w:val="left"/>
            </w:pPr>
            <w:r>
              <w:t xml:space="preserve">Cataract Surgery (Premium IOLs)</w:t>
            </w:r>
          </w:p>
        </w:tc>
        <w:tc>
          <w:tcPr/>
          <w:p>
            <w:pPr>
              <w:pStyle w:val="Compact"/>
              <w:jc w:val="left"/>
            </w:pPr>
            <w:r>
              <w:t xml:space="preserve">865,000</w:t>
            </w:r>
          </w:p>
        </w:tc>
        <w:tc>
          <w:tcPr/>
          <w:p>
            <w:pPr>
              <w:pStyle w:val="Compact"/>
              <w:jc w:val="left"/>
            </w:pPr>
            <w:r>
              <w:t xml:space="preserve">39.8%</w:t>
            </w:r>
          </w:p>
        </w:tc>
        <w:tc>
          <w:tcPr/>
          <w:p>
            <w:pPr>
              <w:pStyle w:val="Compact"/>
              <w:jc w:val="left"/>
            </w:pPr>
            <w:r>
              <w:t xml:space="preserve">+24%</w:t>
            </w:r>
          </w:p>
        </w:tc>
      </w:tr>
      <w:tr>
        <w:tc>
          <w:tcPr/>
          <w:p>
            <w:pPr>
              <w:pStyle w:val="Compact"/>
              <w:jc w:val="left"/>
            </w:pPr>
            <w:r>
              <w:t xml:space="preserve">Laser Vision Correction (LASIK/PRK)</w:t>
            </w:r>
          </w:p>
        </w:tc>
        <w:tc>
          <w:tcPr/>
          <w:p>
            <w:pPr>
              <w:pStyle w:val="Compact"/>
              <w:jc w:val="left"/>
            </w:pPr>
            <w:r>
              <w:t xml:space="preserve">521,000</w:t>
            </w:r>
          </w:p>
        </w:tc>
        <w:tc>
          <w:tcPr/>
          <w:p>
            <w:pPr>
              <w:pStyle w:val="Compact"/>
              <w:jc w:val="left"/>
            </w:pPr>
            <w:r>
              <w:t xml:space="preserve">24.1%</w:t>
            </w:r>
          </w:p>
        </w:tc>
        <w:tc>
          <w:tcPr/>
          <w:p>
            <w:pPr>
              <w:pStyle w:val="Compact"/>
              <w:jc w:val="left"/>
            </w:pPr>
            <w:r>
              <w:t xml:space="preserve">+37%</w:t>
            </w:r>
          </w:p>
        </w:tc>
      </w:tr>
      <w:tr>
        <w:tc>
          <w:tcPr/>
          <w:p>
            <w:pPr>
              <w:pStyle w:val="Compact"/>
              <w:jc w:val="left"/>
            </w:pPr>
            <w:r>
              <w:t xml:space="preserve">Routine Comprehensive Exams</w:t>
            </w:r>
          </w:p>
        </w:tc>
        <w:tc>
          <w:tcPr/>
          <w:p>
            <w:pPr>
              <w:pStyle w:val="Compact"/>
              <w:jc w:val="left"/>
            </w:pPr>
            <w:r>
              <w:t xml:space="preserve">389,000</w:t>
            </w:r>
          </w:p>
        </w:tc>
        <w:tc>
          <w:tcPr/>
          <w:p>
            <w:pPr>
              <w:pStyle w:val="Compact"/>
              <w:jc w:val="left"/>
            </w:pPr>
            <w:r>
              <w:t xml:space="preserve">17.9%</w:t>
            </w:r>
          </w:p>
        </w:tc>
        <w:tc>
          <w:tcPr/>
          <w:p>
            <w:pPr>
              <w:pStyle w:val="Compact"/>
              <w:jc w:val="left"/>
            </w:pPr>
            <w:r>
              <w:t xml:space="preserve">+12%</w:t>
            </w:r>
          </w:p>
        </w:tc>
      </w:tr>
      <w:tr>
        <w:tc>
          <w:tcPr/>
          <w:p>
            <w:pPr>
              <w:pStyle w:val="Compact"/>
              <w:jc w:val="left"/>
            </w:pPr>
            <w:r>
              <w:t xml:space="preserve">Diabetic Retinopathy Screening</w:t>
            </w:r>
          </w:p>
        </w:tc>
        <w:tc>
          <w:tcPr/>
          <w:p>
            <w:pPr>
              <w:pStyle w:val="Compact"/>
              <w:jc w:val="left"/>
            </w:pPr>
            <w:r>
              <w:t xml:space="preserve">245,000</w:t>
            </w:r>
          </w:p>
        </w:tc>
        <w:tc>
          <w:tcPr/>
          <w:p>
            <w:pPr>
              <w:pStyle w:val="Compact"/>
              <w:jc w:val="left"/>
            </w:pPr>
            <w:r>
              <w:t xml:space="preserve">11.3%</w:t>
            </w:r>
          </w:p>
        </w:tc>
        <w:tc>
          <w:tcPr/>
          <w:p>
            <w:pPr>
              <w:pStyle w:val="Compact"/>
              <w:jc w:val="left"/>
            </w:pPr>
            <w:r>
              <w:t xml:space="preserve">+31%</w:t>
            </w:r>
          </w:p>
        </w:tc>
      </w:tr>
      <w:tr>
        <w:tc>
          <w:tcPr/>
          <w:p>
            <w:pPr>
              <w:pStyle w:val="Compact"/>
              <w:jc w:val="left"/>
            </w:pPr>
            <w:r>
              <w:t xml:space="preserve">Glaucoma Management &amp; Monitoring</w:t>
            </w:r>
          </w:p>
        </w:tc>
        <w:tc>
          <w:tcPr/>
          <w:p>
            <w:pPr>
              <w:pStyle w:val="Compact"/>
              <w:jc w:val="left"/>
            </w:pPr>
            <w:r>
              <w:t xml:space="preserve">258,000</w:t>
            </w:r>
          </w:p>
        </w:tc>
        <w:tc>
          <w:tcPr/>
          <w:p>
            <w:pPr>
              <w:pStyle w:val="Compact"/>
              <w:jc w:val="left"/>
            </w:pPr>
            <w:r>
              <w:t xml:space="preserve">11.9%</w:t>
            </w:r>
          </w:p>
        </w:tc>
        <w:tc>
          <w:tcPr/>
          <w:p>
            <w:pPr>
              <w:pStyle w:val="Compact"/>
              <w:jc w:val="left"/>
            </w:pPr>
            <w:r>
              <w:t xml:space="preserve">+19%</w:t>
            </w:r>
          </w:p>
        </w:tc>
      </w:tr>
    </w:tbl>
    <w:bookmarkEnd w:id="23"/>
    <w:bookmarkStart w:id="27" w:name="strategic-initiatives-driving-success"/>
    <w:p>
      <w:pPr>
        <w:pStyle w:val="Heading2"/>
      </w:pPr>
      <w:r>
        <w:t xml:space="preserve">Strategic Initiatives Driving Success</w:t>
      </w:r>
    </w:p>
    <w:p>
      <w:pPr>
        <w:pStyle w:val="FirstParagraph"/>
      </w:pPr>
      <w:r>
        <w:t xml:space="preserve">This Sales Report emphasizes three strategic initiatives that transformed our practice in Germany Munich:</w:t>
      </w:r>
    </w:p>
    <w:bookmarkStart w:id="24" w:name="technology-integration"/>
    <w:p>
      <w:pPr>
        <w:pStyle w:val="Heading3"/>
      </w:pPr>
      <w:r>
        <w:t xml:space="preserve">1. Technology Integration</w:t>
      </w:r>
    </w:p>
    <w:p>
      <w:pPr>
        <w:pStyle w:val="FirstParagraph"/>
      </w:pPr>
      <w:r>
        <w:t xml:space="preserve">Our ophthalmologist spearheaded the implementation of the latest OCT (Optical Coherence Tomography) imaging systems and AI diagnostic platforms. This investment yielded a 28% increase in early detection rates for macular degeneration—directly contributing to higher patient acquisition costs being offset by premium service pricing.</w:t>
      </w:r>
    </w:p>
    <w:bookmarkEnd w:id="24"/>
    <w:bookmarkStart w:id="25" w:name="patient-experience-revolution"/>
    <w:p>
      <w:pPr>
        <w:pStyle w:val="Heading3"/>
      </w:pPr>
      <w:r>
        <w:t xml:space="preserve">2. Patient Experience Revolution</w:t>
      </w:r>
    </w:p>
    <w:p>
      <w:pPr>
        <w:pStyle w:val="FirstParagraph"/>
      </w:pPr>
      <w:r>
        <w:t xml:space="preserve">Beyond clinical excellence, we've redefined the patient journey in Munich with digital scheduling (reducing wait times by 45%), personalized post-operative telehealth follow-ups, and multilingual support (German, English, Turkish). The ophthalmologist personally reviews all patient feedback—a practice that has boosted our NPS score to +72.</w:t>
      </w:r>
    </w:p>
    <w:bookmarkEnd w:id="25"/>
    <w:bookmarkStart w:id="26" w:name="community-health-partnerships"/>
    <w:p>
      <w:pPr>
        <w:pStyle w:val="Heading3"/>
      </w:pPr>
      <w:r>
        <w:t xml:space="preserve">3. Community Health Partnerships</w:t>
      </w:r>
    </w:p>
    <w:p>
      <w:pPr>
        <w:pStyle w:val="FirstParagraph"/>
      </w:pPr>
      <w:r>
        <w:t xml:space="preserve">Collaborating with Munich's municipal health authorities, we launched a free screening program for seniors at 15 community centers across Germany Munich. This initiative generated 680 new patient leads and reinforced our brand as socially responsible leaders in ophthalmic care.</w:t>
      </w:r>
    </w:p>
    <w:bookmarkEnd w:id="26"/>
    <w:bookmarkEnd w:id="27"/>
    <w:bookmarkStart w:id="28" w:name="challenges-market-insights"/>
    <w:p>
      <w:pPr>
        <w:pStyle w:val="Heading2"/>
      </w:pPr>
      <w:r>
        <w:t xml:space="preserve">Challenges &amp; Market Insights</w:t>
      </w:r>
    </w:p>
    <w:p>
      <w:pPr>
        <w:pStyle w:val="FirstParagraph"/>
      </w:pPr>
      <w:r>
        <w:t xml:space="preserve">Despite strong performance, the Sales Report identifies two emerging challenges specific to Germany Munich's market:</w:t>
      </w:r>
    </w:p>
    <w:p>
      <w:pPr>
        <w:numPr>
          <w:ilvl w:val="0"/>
          <w:numId w:val="1002"/>
        </w:numPr>
        <w:pStyle w:val="Compact"/>
      </w:pPr>
      <w:r>
        <w:rPr>
          <w:bCs/>
          <w:b/>
        </w:rPr>
        <w:t xml:space="preserve">Regulatory Shifts:</w:t>
      </w:r>
      <w:r>
        <w:t xml:space="preserve"> </w:t>
      </w:r>
      <w:r>
        <w:t xml:space="preserve">New German healthcare regulations requiring additional documentation for premium procedures have increased administrative workload by 15%. Our ophthalmologist's team developed a streamlined electronic workflow that minimized impact on patient care.</w:t>
      </w:r>
    </w:p>
    <w:p>
      <w:pPr>
        <w:numPr>
          <w:ilvl w:val="0"/>
          <w:numId w:val="1002"/>
        </w:numPr>
        <w:pStyle w:val="Compact"/>
      </w:pPr>
      <w:r>
        <w:rPr>
          <w:bCs/>
          <w:b/>
        </w:rPr>
        <w:t xml:space="preserve">Competitor Response:</w:t>
      </w:r>
      <w:r>
        <w:t xml:space="preserve"> </w:t>
      </w:r>
      <w:r>
        <w:t xml:space="preserve">Two Munich-based clinics recently launched similar laser technology. We countered with our ophthalmologist's exclusive technique for complex cases, attracting high-value patients seeking specialized expertise.</w:t>
      </w:r>
    </w:p>
    <w:p>
      <w:pPr>
        <w:pStyle w:val="FirstParagraph"/>
      </w:pPr>
      <w:r>
        <w:t xml:space="preserve">The report notes a significant trend: Munich residents increasingly prioritize "expert-led" care over cost alone. Our Sales Report data shows that patients willing to pay 30%+ premium for our lead ophthalmologist's direct involvement generated 52% higher lifetime value.</w:t>
      </w:r>
    </w:p>
    <w:bookmarkEnd w:id="28"/>
    <w:bookmarkStart w:id="29" w:name="financial-outlook-recommendations"/>
    <w:p>
      <w:pPr>
        <w:pStyle w:val="Heading2"/>
      </w:pPr>
      <w:r>
        <w:t xml:space="preserve">Financial Outlook &amp; Recommendations</w:t>
      </w:r>
    </w:p>
    <w:p>
      <w:pPr>
        <w:pStyle w:val="FirstParagraph"/>
      </w:pPr>
      <w:r>
        <w:t xml:space="preserve">Based on Q3 performance, we project full-year revenue of €8.7 million—exceeding our target by 14%. Our Sales Report recommends three priority actions for Q4 2023:</w:t>
      </w:r>
    </w:p>
    <w:p>
      <w:pPr>
        <w:pStyle w:val="BodyText"/>
      </w:pPr>
      <w:r>
        <w:rPr>
          <w:bCs/>
          <w:b/>
        </w:rPr>
        <w:t xml:space="preserve">Expand Telemedicine Services:</w:t>
      </w:r>
      <w:r>
        <w:t xml:space="preserve"> </w:t>
      </w:r>
      <w:r>
        <w:t xml:space="preserve">Pilot virtual consultations for follow-ups to capture Munich's growing remote care demand</w:t>
      </w:r>
    </w:p>
    <w:p>
      <w:pPr>
        <w:pStyle w:val="BodyText"/>
      </w:pPr>
      <w:r>
        <w:rPr>
          <w:bCs/>
          <w:b/>
        </w:rPr>
        <w:t xml:space="preserve">Launch Premium Membership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Ophthalmology Practice Performance in Germany Munich</dc:title>
  <dc:creator/>
  <cp:keywords/>
  <dcterms:created xsi:type="dcterms:W3CDTF">2026-07-23T02:06:01Z</dcterms:created>
  <dcterms:modified xsi:type="dcterms:W3CDTF">2026-07-23T02:06:01Z</dcterms:modified>
</cp:coreProperties>
</file>

<file path=docProps/custom.xml><?xml version="1.0" encoding="utf-8"?>
<Properties xmlns="http://schemas.openxmlformats.org/officeDocument/2006/custom-properties" xmlns:vt="http://schemas.openxmlformats.org/officeDocument/2006/docPropsVTypes"/>
</file>