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w:t>
      </w:r>
      <w:r>
        <w:t xml:space="preserve"> </w:t>
      </w:r>
      <w:r>
        <w:t xml:space="preserve">India</w:t>
      </w:r>
      <w:r>
        <w:t xml:space="preserve"> </w:t>
      </w:r>
      <w:r>
        <w:t xml:space="preserve">Mumbai</w:t>
      </w:r>
    </w:p>
    <w:bookmarkStart w:id="20" w:name="X29110eef2469a0a8e607de70746bb44b89b22d8"/>
    <w:p>
      <w:pPr>
        <w:pStyle w:val="Heading1"/>
      </w:pPr>
      <w:r>
        <w:t xml:space="preserve">QUARTERLY SALES REPORT: OPHTHALMOLOGIST PRACTICE - MUMBAI, INDIA</w:t>
      </w:r>
    </w:p>
    <w:p>
      <w:pPr>
        <w:pStyle w:val="FirstParagraph"/>
      </w:pPr>
      <w:r>
        <w:t xml:space="preserve">Reporting Period: Q2 2024 (April 1 - June 30, 2024)</w:t>
      </w:r>
    </w:p>
    <w:p>
      <w:pPr>
        <w:pStyle w:val="BodyText"/>
      </w:pPr>
      <w:r>
        <w:t xml:space="preserve">Prepared For: Mumbai Ophthalmology Associates Management</w:t>
      </w:r>
    </w:p>
    <w:bookmarkEnd w:id="20"/>
    <w:bookmarkStart w:id="21" w:name="executive-summary"/>
    <w:p>
      <w:pPr>
        <w:pStyle w:val="Heading2"/>
      </w:pPr>
      <w:r>
        <w:t xml:space="preserve">Executive Summary</w:t>
      </w:r>
    </w:p>
    <w:p>
      <w:pPr>
        <w:pStyle w:val="FirstParagraph"/>
      </w:pPr>
      <w:r>
        <w:t xml:space="preserve">This comprehensive Sales Report details the operational and financial performance of our ophthalmologist practice across Mumbai's premier healthcare districts including South Mumbai, Andheri, and Lower Parel. As India's financial capital continues to experience unprecedented growth in eye care demand, this report underscores our strategic positioning as a leading provider of advanced ophthalmic services. The quarter witnessed remarkable growth with a 28% increase in patient consultations compared to Q1 2024, directly contributing to a 35% surge in overall revenue. This success is attributed to our specialized ophthalmologist expertise and targeted service offerings tailored for Mumbai's unique demographic and healthcare needs.</w:t>
      </w:r>
    </w:p>
    <w:bookmarkEnd w:id="21"/>
    <w:bookmarkStart w:id="22" w:name="Xabaf4b73faecdaa6c6f7348000b2ceed3ab4db1"/>
    <w:p>
      <w:pPr>
        <w:pStyle w:val="Heading2"/>
      </w:pPr>
      <w:r>
        <w:t xml:space="preserve">Market Analysis: Ophthalmology Landscape in India Mumbai</w:t>
      </w:r>
    </w:p>
    <w:p>
      <w:pPr>
        <w:pStyle w:val="FirstParagraph"/>
      </w:pPr>
      <w:r>
        <w:t xml:space="preserve">Mumbai, as the epicenter of India's medical tourism industry, presents a dynamic market for specialized ophthalmology services. With over 15 million residents facing rising prevalence of diabetic retinopathy (affecting 38% of diabetics) and age-related macular degeneration (affecting 1 in every 20 Indians over 65), our ophthalmologist practice has strategically positioned itself to address these critical needs. The Indian government's Ayushman Bharat scheme has further expanded access to eye care, creating a fertile ground for premium ophthalmology services in Mumbai's urban centers. Our Sales Report indicates that patients increasingly seek certified ophthalmologist-led care with advanced diagnostic capabilities – a service we have successfully integrated across all our Mumbai clinics.</w:t>
      </w:r>
    </w:p>
    <w:bookmarkEnd w:id="22"/>
    <w:bookmarkStart w:id="23" w:name="key-sales-performance-metrics"/>
    <w:p>
      <w:pPr>
        <w:pStyle w:val="Heading2"/>
      </w:pPr>
      <w:r>
        <w:t xml:space="preserve">Key Sales Performance Metrics</w:t>
      </w:r>
    </w:p>
    <w:p>
      <w:pPr>
        <w:pStyle w:val="FirstParagraph"/>
      </w:pPr>
      <w:r>
        <w:t xml:space="preserve">The Q2 2024 sales data reveals compelling growth trajectories. Total consultations reached 4,850 (up 31% YoY), with surgical procedures increasing by 37% to 890 cases. Notable highlights include:</w:t>
      </w:r>
    </w:p>
    <w:p>
      <w:pPr>
        <w:numPr>
          <w:ilvl w:val="0"/>
          <w:numId w:val="1001"/>
        </w:numPr>
        <w:pStyle w:val="Compact"/>
      </w:pPr>
      <w:r>
        <w:t xml:space="preserve">Refractive surgery (LASIK) bookings increased by 42%, driven by Mumbai's young professional population seeking vision correction</w:t>
      </w:r>
    </w:p>
    <w:p>
      <w:pPr>
        <w:numPr>
          <w:ilvl w:val="0"/>
          <w:numId w:val="1001"/>
        </w:numPr>
        <w:pStyle w:val="Compact"/>
      </w:pPr>
      <w:r>
        <w:t xml:space="preserve">Cataract surgery volume grew to 560 procedures (39% YoY), with premium IOL implants capturing 68% of all cataract cases</w:t>
      </w:r>
    </w:p>
    <w:p>
      <w:pPr>
        <w:numPr>
          <w:ilvl w:val="0"/>
          <w:numId w:val="1001"/>
        </w:numPr>
        <w:pStyle w:val="Compact"/>
      </w:pPr>
      <w:r>
        <w:t xml:space="preserve">Diabetic retinopathy screening services saw 52% patient uptake growth due to our partnership with Mumbai's municipal health centers</w:t>
      </w:r>
    </w:p>
    <w:p>
      <w:pPr>
        <w:pStyle w:val="FirstParagraph"/>
      </w:pPr>
      <w:r>
        <w:t xml:space="preserve">The revenue breakdown shows premium service pricing is resonating well with Mumbai's affluent demographic. Our ophthalmologist-led clinic in Juhu achieved a 47% higher average consultation fee compared to citywide benchmarks, validating our value-based care model. Notably, teleophthalmology services (launched March 2024) generated ₹18 lakh in revenue from Mumbai's suburban areas where physical access is limited – a crucial expansion for reaching underserved communities across India.</w:t>
      </w:r>
    </w:p>
    <w:bookmarkEnd w:id="23"/>
    <w:bookmarkStart w:id="24" w:name="X5bea46b734f0d463bf8e6791ce7253b3732dd5d"/>
    <w:p>
      <w:pPr>
        <w:pStyle w:val="Heading2"/>
      </w:pPr>
      <w:r>
        <w:t xml:space="preserve">Strategic Initiatives Driving Sales Growth</w:t>
      </w:r>
    </w:p>
    <w:p>
      <w:pPr>
        <w:pStyle w:val="FirstParagraph"/>
      </w:pPr>
      <w:r>
        <w:t xml:space="preserve">Our ophthalmologist team has executed targeted initiatives that directly boosted sales performance in the Mumbai market. The "Mumbai Eye Care Initiative" partnered with 15 corporate offices (including major IT firms in Bandra and K-Wing) to provide on-site screenings, generating 320 high-value consultations. Additionally, our collaboration with Apollo Spectra (Andheri) for advanced retinal surgeries has become a significant revenue driver. The Sales Report highlights that patients referred through these partnerships demonstrate 62% higher retention rates – a critical metric for sustainable growth in Mumbai's competitive healthcare landscape.</w:t>
      </w:r>
    </w:p>
    <w:p>
      <w:pPr>
        <w:pStyle w:val="BodyText"/>
      </w:pPr>
      <w:r>
        <w:t xml:space="preserve">Crucially, our digital transformation strategy has proven vital. The mobile app launch (featuring AI-based symptom checker and appointment booking) saw 18,500 downloads within three months – 76% from Mumbai users. This platform directly contributed to a 22% reduction in patient no-shows and a 33% increase in appointment conversion rates, significantly improving our operational efficiency as measured in the Sales Report.</w:t>
      </w:r>
    </w:p>
    <w:bookmarkEnd w:id="24"/>
    <w:bookmarkStart w:id="25" w:name="challenges-mitigation-strategies"/>
    <w:p>
      <w:pPr>
        <w:pStyle w:val="Heading2"/>
      </w:pPr>
      <w:r>
        <w:t xml:space="preserve">Challenges &amp; Mitigation Strategies</w:t>
      </w:r>
    </w:p>
    <w:p>
      <w:pPr>
        <w:pStyle w:val="FirstParagraph"/>
      </w:pPr>
      <w:r>
        <w:t xml:space="preserve">Despite strong growth, Mumbai's ophthalmology market presents unique challenges. Supply chain disruptions for specialized surgical materials temporarily impacted Q2 delivery timelines (affecting 14% of scheduled procedures). Our sales team immediately implemented a dual-sourcing strategy with local Indian suppliers, resolving the issue within 72 hours and maintaining our reputation as a reliable Mumbai-based ophthalmologist practice.</w:t>
      </w:r>
    </w:p>
    <w:p>
      <w:pPr>
        <w:pStyle w:val="BodyText"/>
      </w:pPr>
      <w:r>
        <w:t xml:space="preserve">Another challenge was the increasing competition from hospital-based eye departments. Our response included enhancing our premium service tiers (e.g., "VIP Ophthalmologist Concierge" with priority scheduling for Mumbai's elite clients), which increased high-revenue patient acquisition by 25% in Q2. The Sales Report confirms this strategy has successfully differentiated us in a crowded India Mumbai market.</w:t>
      </w:r>
    </w:p>
    <w:bookmarkEnd w:id="25"/>
    <w:bookmarkStart w:id="26" w:name="future-growth-opportunities"/>
    <w:p>
      <w:pPr>
        <w:pStyle w:val="Heading2"/>
      </w:pPr>
      <w:r>
        <w:t xml:space="preserve">Future Growth Opportunities</w:t>
      </w:r>
    </w:p>
    <w:p>
      <w:pPr>
        <w:pStyle w:val="FirstParagraph"/>
      </w:pPr>
      <w:r>
        <w:t xml:space="preserve">Based on the current trajectory, we project 40% year-over-year revenue growth for our ophthalmologist practice by end of 2024. Strategic recommendations include:</w:t>
      </w:r>
    </w:p>
    <w:p>
      <w:pPr>
        <w:numPr>
          <w:ilvl w:val="0"/>
          <w:numId w:val="1002"/>
        </w:numPr>
        <w:pStyle w:val="Compact"/>
      </w:pPr>
      <w:r>
        <w:rPr>
          <w:bCs/>
          <w:b/>
        </w:rPr>
        <w:t xml:space="preserve">Expansion into Tier-2 Mumbai Cities:</w:t>
      </w:r>
      <w:r>
        <w:t xml:space="preserve"> </w:t>
      </w:r>
      <w:r>
        <w:t xml:space="preserve">Targeting Navi Mumbai and Thane with mobile eye care units to tap into the growing middle-class segment (addressing India's underserved rural-urban health gap)</w:t>
      </w:r>
    </w:p>
    <w:p>
      <w:pPr>
        <w:numPr>
          <w:ilvl w:val="0"/>
          <w:numId w:val="1002"/>
        </w:numPr>
        <w:pStyle w:val="Compact"/>
      </w:pPr>
      <w:r>
        <w:rPr>
          <w:bCs/>
          <w:b/>
        </w:rPr>
        <w:t xml:space="preserve">Mumbai Corporate Wellness Partnerships:</w:t>
      </w:r>
      <w:r>
        <w:t xml:space="preserve"> </w:t>
      </w:r>
      <w:r>
        <w:t xml:space="preserve">Scaling our corporate screening program to cover 50+ major businesses in the city by Q4 2024</w:t>
      </w:r>
    </w:p>
    <w:p>
      <w:pPr>
        <w:numPr>
          <w:ilvl w:val="0"/>
          <w:numId w:val="1002"/>
        </w:numPr>
        <w:pStyle w:val="Compact"/>
      </w:pPr>
      <w:r>
        <w:rPr>
          <w:bCs/>
          <w:b/>
        </w:rPr>
        <w:t xml:space="preserve">AI-Powered Diagnostic Integration:</w:t>
      </w:r>
      <w:r>
        <w:t xml:space="preserve"> </w:t>
      </w:r>
      <w:r>
        <w:t xml:space="preserve">Implementing AI tools for retinal analysis (partnering with Indian tech firms) to enhance diagnostic accuracy and service premiumization</w:t>
      </w:r>
    </w:p>
    <w:bookmarkEnd w:id="26"/>
    <w:bookmarkStart w:id="27" w:name="conclusion"/>
    <w:p>
      <w:pPr>
        <w:pStyle w:val="Heading2"/>
      </w:pPr>
      <w:r>
        <w:t xml:space="preserve">Conclusion</w:t>
      </w:r>
    </w:p>
    <w:p>
      <w:pPr>
        <w:pStyle w:val="FirstParagraph"/>
      </w:pPr>
      <w:r>
        <w:t xml:space="preserve">This Sales Report demonstrates that our Mumbai-based ophthalmologist practice has not only met but exceeded growth targets in the highly competitive India healthcare market. The data confirms that specialized, technology-integrated eye care delivered by certified ophthalmologists is increasingly preferred by Mumbai patients seeking quality results. As we continue to expand our service footprint across Mumbai and into other key Indian cities, the success of this quarter provides a robust foundation for sustainable growth.</w:t>
      </w:r>
    </w:p>
    <w:p>
      <w:pPr>
        <w:pStyle w:val="BodyText"/>
      </w:pPr>
      <w:r>
        <w:t xml:space="preserve">Our commitment remains steadfast: to be India's most trusted ophthalmologist practice where advanced technology meets compassionate care. This Sales Report validates that Mumbai patients recognize and value our specialized approach, making us well-positioned to lead the ophthalmology sector in India for years to come. We will continue prioritizing patient outcomes, technological innovation, and community health initiatives as pillars of our growth strategy across all Mumbai locations.</w:t>
      </w:r>
    </w:p>
    <w:p>
      <w:pPr>
        <w:pStyle w:val="BodyText"/>
      </w:pPr>
      <w:r>
        <w:t xml:space="preserve">Prepared by: Mumbai Ophthalmology Sales Analytics Division | Date: July 15, 2024</w:t>
      </w:r>
    </w:p>
    <w:p>
      <w:pPr>
        <w:pStyle w:val="BodyText"/>
      </w:pPr>
      <w:r>
        <w:t xml:space="preserve">This Sales Report adheres to India Medical Council regulations for healthcare practice transparency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 India Mumbai</dc:title>
  <dc:creator/>
  <dc:language>en</dc:language>
  <cp:keywords/>
  <dcterms:created xsi:type="dcterms:W3CDTF">2026-07-24T00:20:34Z</dcterms:created>
  <dcterms:modified xsi:type="dcterms:W3CDTF">2026-07-24T00:20:34Z</dcterms:modified>
</cp:coreProperties>
</file>

<file path=docProps/custom.xml><?xml version="1.0" encoding="utf-8"?>
<Properties xmlns="http://schemas.openxmlformats.org/officeDocument/2006/custom-properties" xmlns:vt="http://schemas.openxmlformats.org/officeDocument/2006/docPropsVTypes"/>
</file>