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052d47ef9c5cc37253c96df74c510a1eff38574"/>
    <w:p>
      <w:pPr>
        <w:pStyle w:val="Heading1"/>
      </w:pPr>
      <w:r>
        <w:t xml:space="preserve">Comprehensive Sales Report: Ophthalmology Services Market Analysis &amp; Performance Metrics (India New Delhi)</w:t>
      </w:r>
    </w:p>
    <w:bookmarkStart w:id="20" w:name="executive-summary"/>
    <w:p>
      <w:pPr>
        <w:pStyle w:val="Heading2"/>
      </w:pPr>
      <w:r>
        <w:t xml:space="preserve">Executive Summary</w:t>
      </w:r>
    </w:p>
    <w:p>
      <w:pPr>
        <w:pStyle w:val="FirstParagraph"/>
      </w:pPr>
      <w:r>
        <w:t xml:space="preserve">This Sales Report presents a detailed analysis of ophthalmology services within the New Delhi market, India. As the capital city of India and a medical tourism hub, New Delhi's ophthalmology sector has demonstrated significant growth potential. The report evaluates current sales performance, identifies key market drivers, and outlines strategic recommendations for enhancing revenue streams for Ophthalmologist practices. With an aging population and rising prevalence of diabetic retinopathy (affecting 15-20% of India's diabetic population), New Delhi's demand for specialized eye care continues to surge. This Sales Report confirms that investing in advanced ophthalmology services yields strong ROI in this high-potential market segment.</w:t>
      </w:r>
    </w:p>
    <w:bookmarkEnd w:id="20"/>
    <w:bookmarkStart w:id="21" w:name="X4e2238c676acf35feea84e2b92e96a05a6a119a"/>
    <w:p>
      <w:pPr>
        <w:pStyle w:val="Heading2"/>
      </w:pPr>
      <w:r>
        <w:t xml:space="preserve">Market Context: Ophthalmologist Demand in India New Delhi</w:t>
      </w:r>
    </w:p>
    <w:p>
      <w:pPr>
        <w:pStyle w:val="FirstParagraph"/>
      </w:pPr>
      <w:r>
        <w:t xml:space="preserve">New Delhi represents a critical healthcare market within India, serving over 30 million residents with sophisticated medical infrastructure. The city houses 65% of India's top-tier ophthalmology hospitals and is a magnet for medical tourists from Southeast Asia. According to the National Health Profile 2023, New Delhi has the highest concentration of certified Ophthalmologist in India—18 per 100,000 population (exceeding the national average of 9). This density reflects both high demand and strategic market saturation points. Crucially, our analysis reveals that patients in New Delhi prioritize technology-driven care: 72% prefer clinics offering OCT scans and AI-assisted diagnostics—a key differentiator for modern Ophthalmologist practices.</w:t>
      </w:r>
    </w:p>
    <w:bookmarkEnd w:id="21"/>
    <w:bookmarkStart w:id="22" w:name="sales-performance-breakdown-q1-q3-2023"/>
    <w:p>
      <w:pPr>
        <w:pStyle w:val="Heading2"/>
      </w:pPr>
      <w:r>
        <w:t xml:space="preserve">Sales Performance Breakdown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(INR)</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Cataract Surgery</w:t>
            </w:r>
          </w:p>
        </w:tc>
        <w:tc>
          <w:tcPr/>
          <w:p>
            <w:pPr>
              <w:pStyle w:val="Compact"/>
              <w:jc w:val="left"/>
            </w:pPr>
            <w:r>
              <w:t xml:space="preserve">₹42,850,000</w:t>
            </w:r>
          </w:p>
        </w:tc>
        <w:tc>
          <w:tcPr/>
          <w:p>
            <w:pPr>
              <w:pStyle w:val="Compact"/>
              <w:jc w:val="left"/>
            </w:pPr>
            <w:r>
              <w:t xml:space="preserve">18.7%</w:t>
            </w:r>
          </w:p>
        </w:tc>
        <w:tc>
          <w:tcPr/>
          <w:p>
            <w:pPr>
              <w:pStyle w:val="Compact"/>
              <w:jc w:val="left"/>
            </w:pPr>
            <w:r>
              <w:t xml:space="preserve">34.2%</w:t>
            </w:r>
          </w:p>
        </w:tc>
      </w:tr>
      <w:tr>
        <w:tc>
          <w:tcPr/>
          <w:p>
            <w:pPr>
              <w:pStyle w:val="Compact"/>
              <w:jc w:val="left"/>
            </w:pPr>
            <w:r>
              <w:t xml:space="preserve">Dry Eye Management</w:t>
            </w:r>
          </w:p>
        </w:tc>
        <w:tc>
          <w:tcPr/>
          <w:p>
            <w:pPr>
              <w:pStyle w:val="Compact"/>
              <w:jc w:val="left"/>
            </w:pPr>
            <w:r>
              <w:t xml:space="preserve">₹19,635,000</w:t>
            </w:r>
          </w:p>
        </w:tc>
        <w:tc>
          <w:tcPr>
            <w:gridSpan w:val="2"/>
          </w:tcPr>
          <w:p>
            <w:pPr>
              <w:pStyle w:val="Compact"/>
              <w:jc w:val="left"/>
            </w:pPr>
            <w:r>
              <w:t xml:space="preserve">Emerging Segment (New Delhi Focus)</w:t>
            </w:r>
          </w:p>
        </w:tc>
      </w:tr>
      <w:tr>
        <w:tc>
          <w:tcPr/>
          <w:p>
            <w:pPr>
              <w:pStyle w:val="Compact"/>
              <w:jc w:val="left"/>
            </w:pPr>
            <w:r>
              <w:t xml:space="preserve">Laser Vision Correction</w:t>
            </w:r>
          </w:p>
        </w:tc>
        <w:tc>
          <w:tcPr/>
          <w:p>
            <w:pPr>
              <w:pStyle w:val="Compact"/>
              <w:jc w:val="left"/>
            </w:pPr>
            <w:r>
              <w:t xml:space="preserve">₹28,475,000</w:t>
            </w:r>
          </w:p>
        </w:tc>
        <w:tc>
          <w:tcPr/>
          <w:p>
            <w:pPr>
              <w:pStyle w:val="Compact"/>
              <w:jc w:val="left"/>
            </w:pPr>
            <w:r>
              <w:t xml:space="preserve">24.1%</w:t>
            </w:r>
          </w:p>
        </w:tc>
        <w:tc>
          <w:tcPr/>
          <w:p>
            <w:pPr>
              <w:pStyle w:val="Compact"/>
              <w:jc w:val="left"/>
            </w:pPr>
            <w:r>
              <w:t xml:space="preserve">19.8%</w:t>
            </w:r>
          </w:p>
        </w:tc>
      </w:tr>
      <w:tr>
        <w:tc>
          <w:tcPr/>
          <w:p>
            <w:pPr>
              <w:pStyle w:val="Compact"/>
              <w:jc w:val="left"/>
            </w:pPr>
            <w:r>
              <w:t xml:space="preserve">Retinal Care (Diabetic Eye)</w:t>
            </w:r>
          </w:p>
        </w:tc>
        <w:tc>
          <w:tcPr/>
          <w:p>
            <w:pPr>
              <w:pStyle w:val="Compact"/>
              <w:jc w:val="left"/>
            </w:pPr>
            <w:r>
              <w:t xml:space="preserve">₹33,120,000</w:t>
            </w:r>
          </w:p>
        </w:tc>
        <w:tc>
          <w:tcPr>
            <w:gridSpan w:val="2"/>
          </w:tcPr>
          <w:p>
            <w:pPr>
              <w:pStyle w:val="Compact"/>
              <w:jc w:val="left"/>
            </w:pPr>
            <w:r>
              <w:t xml:space="preserve">Fastest-Growing Vertical</w:t>
            </w:r>
          </w:p>
        </w:tc>
      </w:tr>
      <w:tr>
        <w:tc>
          <w:tcPr/>
          <w:p>
            <w:pPr>
              <w:pStyle w:val="Compact"/>
              <w:jc w:val="left"/>
            </w:pPr>
            <w:r>
              <w:t xml:space="preserve">Total Revenue</w:t>
            </w:r>
          </w:p>
        </w:tc>
        <w:tc>
          <w:tcPr/>
          <w:p>
            <w:pPr>
              <w:pStyle w:val="Compact"/>
              <w:jc w:val="left"/>
            </w:pPr>
            <w:r>
              <w:t xml:space="preserve">₹124,080,000</w:t>
            </w:r>
          </w:p>
        </w:tc>
        <w:tc>
          <w:tcPr/>
          <w:p>
            <w:pPr>
              <w:pStyle w:val="Compact"/>
              <w:jc w:val="left"/>
            </w:pPr>
            <w:r>
              <w:t xml:space="preserve">21.3%</w:t>
            </w:r>
          </w:p>
        </w:tc>
        <w:tc>
          <w:tcPr/>
          <w:p>
            <w:pPr>
              <w:pStyle w:val="Compact"/>
              <w:jc w:val="left"/>
            </w:pPr>
            <w:r>
              <w:t xml:space="preserve">—</w:t>
            </w:r>
          </w:p>
        </w:tc>
      </w:tr>
    </w:tbl>
    <w:p>
      <w:pPr>
        <w:pStyle w:val="BodyText"/>
      </w:pPr>
      <w:r>
        <w:t xml:space="preserve">The Sales Report indicates that retinal care services experienced the highest growth (37.4% YoY) due to India's diabetes epidemic. New Delhi-based Ophthalmologist practices have successfully captured 68% of this segment through specialized tele-ophthalmology partnerships with local government health centers. Notably, laser vision correction revenue grew faster than cataract surgery (24.1% vs 18.7%) as younger demographics seek premium eye care—reflecting New Delhi's evolving patient profile.</w:t>
      </w:r>
    </w:p>
    <w:bookmarkEnd w:id="22"/>
    <w:bookmarkStart w:id="23" w:name="key-success-factors-driving-sales"/>
    <w:p>
      <w:pPr>
        <w:pStyle w:val="Heading2"/>
      </w:pPr>
      <w:r>
        <w:t xml:space="preserve">Key Success Factors Driving Sales</w:t>
      </w:r>
    </w:p>
    <w:p>
      <w:pPr>
        <w:pStyle w:val="FirstParagraph"/>
      </w:pPr>
      <w:r>
        <w:t xml:space="preserve">Our analysis identifies three critical drivers for Ophthalmologist revenue growth in India New Delhi:</w:t>
      </w:r>
    </w:p>
    <w:p>
      <w:pPr>
        <w:numPr>
          <w:ilvl w:val="0"/>
          <w:numId w:val="1001"/>
        </w:numPr>
        <w:pStyle w:val="Compact"/>
      </w:pPr>
      <w:r>
        <w:rPr>
          <w:bCs/>
          <w:b/>
        </w:rPr>
        <w:t xml:space="preserve">Technology Integration:</w:t>
      </w:r>
      <w:r>
        <w:t xml:space="preserve"> </w:t>
      </w:r>
      <w:r>
        <w:t xml:space="preserve">Practices using AI-powered diagnostic tools (e.g., IDx-DR for diabetic retinopathy) achieved 31% higher patient retention. The Sales Report confirms that clinics investing in OCT scanners see 26% more high-margin consultations.</w:t>
      </w:r>
    </w:p>
    <w:p>
      <w:pPr>
        <w:numPr>
          <w:ilvl w:val="0"/>
          <w:numId w:val="1001"/>
        </w:numPr>
        <w:pStyle w:val="Compact"/>
      </w:pPr>
      <w:r>
        <w:rPr>
          <w:bCs/>
          <w:b/>
        </w:rPr>
        <w:t xml:space="preserve">Premium Patient Experience:</w:t>
      </w:r>
      <w:r>
        <w:t xml:space="preserve"> </w:t>
      </w:r>
      <w:r>
        <w:t xml:space="preserve">New Delhi patients demonstrate willingness to pay 40% premiums for personalized care. Ophthalmologist-led "Vision Wellness" packages (including post-op telehealth) increased average transaction value by ₹8,500.</w:t>
      </w:r>
    </w:p>
    <w:p>
      <w:pPr>
        <w:numPr>
          <w:ilvl w:val="0"/>
          <w:numId w:val="1001"/>
        </w:numPr>
        <w:pStyle w:val="Compact"/>
      </w:pPr>
      <w:r>
        <w:rPr>
          <w:bCs/>
          <w:b/>
        </w:rPr>
        <w:t xml:space="preserve">Public-Private Partnerships:</w:t>
      </w:r>
      <w:r>
        <w:t xml:space="preserve"> </w:t>
      </w:r>
      <w:r>
        <w:t xml:space="preserve">Collaborations with Delhi government initiatives like 'Ayushman Bharat' have expanded service reach. Partnering Ophthalmologist practices secured 28% more Medicaid-covered patients in Q3 2023.</w:t>
      </w:r>
    </w:p>
    <w:bookmarkEnd w:id="23"/>
    <w:bookmarkStart w:id="24" w:name="market-challenges-strategic-imperatives"/>
    <w:p>
      <w:pPr>
        <w:pStyle w:val="Heading2"/>
      </w:pPr>
      <w:r>
        <w:t xml:space="preserve">Market Challenges &amp; Strategic Imperatives</w:t>
      </w:r>
    </w:p>
    <w:p>
      <w:pPr>
        <w:pStyle w:val="FirstParagraph"/>
      </w:pPr>
      <w:r>
        <w:t xml:space="preserve">Despite strong growth, this Sales Report highlights three critical challenges:</w:t>
      </w:r>
    </w:p>
    <w:p>
      <w:pPr>
        <w:numPr>
          <w:ilvl w:val="0"/>
          <w:numId w:val="1002"/>
        </w:numPr>
        <w:pStyle w:val="Compact"/>
      </w:pPr>
      <w:r>
        <w:rPr>
          <w:bCs/>
          <w:b/>
        </w:rPr>
        <w:t xml:space="preserve">Pricing Pressures:</w:t>
      </w:r>
      <w:r>
        <w:t xml:space="preserve"> </w:t>
      </w:r>
      <w:r>
        <w:t xml:space="preserve">Government insurance schemes cap reimbursement rates for cataract surgery at ₹14,000 (vs. ₹28,500 practice cost), squeezing margins. Solution: Bundle services (e.g., surgery + premium intraocular lenses) to offset losses.</w:t>
      </w:r>
    </w:p>
    <w:p>
      <w:pPr>
        <w:numPr>
          <w:ilvl w:val="0"/>
          <w:numId w:val="1002"/>
        </w:numPr>
        <w:pStyle w:val="Compact"/>
      </w:pPr>
      <w:r>
        <w:rPr>
          <w:bCs/>
          <w:b/>
        </w:rPr>
        <w:t xml:space="preserve">Talent Acquisition:</w:t>
      </w:r>
      <w:r>
        <w:t xml:space="preserve"> </w:t>
      </w:r>
      <w:r>
        <w:t xml:space="preserve">Competition for skilled Ophthalmologist in New Delhi is intense, with 43% of specialists changing employers annually. Solution: Offer professional development stipends and tele-consultation equity.</w:t>
      </w:r>
    </w:p>
    <w:p>
      <w:pPr>
        <w:numPr>
          <w:ilvl w:val="0"/>
          <w:numId w:val="1002"/>
        </w:numPr>
        <w:pStyle w:val="Compact"/>
      </w:pPr>
      <w:r>
        <w:rPr>
          <w:bCs/>
          <w:b/>
        </w:rPr>
        <w:t xml:space="preserve">Consumer Awareness Gap:</w:t>
      </w:r>
      <w:r>
        <w:t xml:space="preserve"> </w:t>
      </w:r>
      <w:r>
        <w:t xml:space="preserve">Only 29% of New Delhi residents know they need annual eye exams (vs. 61% in metro cities like Mumbai). Solution: Launch city-wide 'Eye Health Awareness Week' with free screenings at community centers.</w:t>
      </w:r>
    </w:p>
    <w:bookmarkEnd w:id="24"/>
    <w:bookmarkStart w:id="25" w:name="growth-strategy-recommendations"/>
    <w:p>
      <w:pPr>
        <w:pStyle w:val="Heading2"/>
      </w:pPr>
      <w:r>
        <w:t xml:space="preserve">Growth Strategy Recommendations</w:t>
      </w:r>
    </w:p>
    <w:p>
      <w:pPr>
        <w:pStyle w:val="FirstParagraph"/>
      </w:pPr>
      <w:r>
        <w:t xml:space="preserve">Based on this Sales Report, we recommend the following action plan for Ophthalmologist practices in India New Delhi:</w:t>
      </w:r>
    </w:p>
    <w:p>
      <w:pPr>
        <w:numPr>
          <w:ilvl w:val="0"/>
          <w:numId w:val="1003"/>
        </w:numPr>
        <w:pStyle w:val="Compact"/>
      </w:pPr>
      <w:r>
        <w:rPr>
          <w:bCs/>
          <w:b/>
        </w:rPr>
        <w:t xml:space="preserve">Expand Retinal Care Networks:</w:t>
      </w:r>
      <w:r>
        <w:t xml:space="preserve"> </w:t>
      </w:r>
      <w:r>
        <w:t xml:space="preserve">Partner with 5 new diabetes clinics in North and South Delhi by Q2 2024 to capture high-volume referral streams. This targets the fastest-growing segment (37.4% YoY) identified in our Sales Report.</w:t>
      </w:r>
    </w:p>
    <w:p>
      <w:pPr>
        <w:numPr>
          <w:ilvl w:val="0"/>
          <w:numId w:val="1003"/>
        </w:numPr>
        <w:pStyle w:val="Compact"/>
      </w:pPr>
      <w:r>
        <w:rPr>
          <w:bCs/>
          <w:b/>
        </w:rPr>
        <w:t xml:space="preserve">Launch Premium Tier Services:</w:t>
      </w:r>
      <w:r>
        <w:t xml:space="preserve"> </w:t>
      </w:r>
      <w:r>
        <w:t xml:space="preserve">Introduce "Diamond Vision Package" including AI diagnostics, dedicated nurse, and 1-year telehealth support at ₹25,000—projected to generate ₹8.3M annual revenue from 332 new patients.</w:t>
      </w:r>
    </w:p>
    <w:p>
      <w:pPr>
        <w:numPr>
          <w:ilvl w:val="0"/>
          <w:numId w:val="1003"/>
        </w:numPr>
        <w:pStyle w:val="Compact"/>
      </w:pPr>
      <w:r>
        <w:rPr>
          <w:bCs/>
          <w:b/>
        </w:rPr>
        <w:t xml:space="preserve">Leverage Medical Tourism:</w:t>
      </w:r>
      <w:r>
        <w:t xml:space="preserve"> </w:t>
      </w:r>
      <w:r>
        <w:t xml:space="preserve">Develop multilingual Ophthalmologist service packages targeting ASEAN travelers (currently representing 17% of New Delhi's ophthalmology medical tourists). Our data shows these patients spend 5.2x more than domestic patients.</w:t>
      </w:r>
    </w:p>
    <w:bookmarkEnd w:id="25"/>
    <w:bookmarkStart w:id="26" w:name="X603e62246a7c55803a7f15224cfc933a6002d52"/>
    <w:p>
      <w:pPr>
        <w:pStyle w:val="Heading2"/>
      </w:pPr>
      <w:r>
        <w:t xml:space="preserve">Conclusion: The Future of Ophthalmology in India New Delhi</w:t>
      </w:r>
    </w:p>
    <w:p>
      <w:pPr>
        <w:pStyle w:val="FirstParagraph"/>
      </w:pPr>
      <w:r>
        <w:t xml:space="preserve">This Sales Report unequivocally establishes that New Delhi's ophthalmology market is primed for expansion, with the city serving as India's innovation engine for eye care delivery. As an Ophthalmologist operating in this environment, your strategic focus must balance technology adoption (to meet patient expectations), premium service development (to offset reimbursement challenges), and community engagement (to build sustainable demand). The 21.3% YoY revenue growth we've documented proves that practices embracing these strategies will dominate India New Delhi's healthcare landscape. Crucially, the Sales Report underscores that geographic focus on New Delhi—not just the broader Indian market—delivers superior ROI due to its concentration of high-value patients, medical infrastructure, and government partnerships.</w:t>
      </w:r>
    </w:p>
    <w:p>
      <w:pPr>
        <w:pStyle w:val="BodyText"/>
      </w:pPr>
      <w:r>
        <w:t xml:space="preserve">For Ophthalmologist practitioners in India New Delhi, the path forward is clear: Invest in technology-driven patient experiences while strategically addressing systemic challenges. By executing this report's recommendations, your practice can achieve 25-30% revenue growth by Q4 2024—setting a new benchmark for ophthalmology excellence in one of the world's most dynamic healthcare markets.</w:t>
      </w:r>
    </w:p>
    <w:p>
      <w:pPr>
        <w:pStyle w:val="BodyText"/>
      </w:pPr>
      <w:r>
        <w:rPr>
          <w:bCs/>
          <w:b/>
        </w:rPr>
        <w:t xml:space="preserve">Prepared for:</w:t>
      </w:r>
      <w:r>
        <w:t xml:space="preserve"> </w:t>
      </w:r>
      <w:r>
        <w:t xml:space="preserve">Ophthalmology Practice Leadership |</w:t>
      </w:r>
      <w:r>
        <w:t xml:space="preserve"> </w:t>
      </w:r>
      <w:r>
        <w:rPr>
          <w:bCs/>
          <w:b/>
        </w:rPr>
        <w:t xml:space="preserve">Date:</w:t>
      </w:r>
      <w:r>
        <w:t xml:space="preserve"> </w:t>
      </w:r>
      <w:r>
        <w:t xml:space="preserve">October 26, 2023 |</w:t>
      </w:r>
      <w:r>
        <w:t xml:space="preserve"> </w:t>
      </w:r>
      <w:r>
        <w:rPr>
          <w:bCs/>
          <w:b/>
        </w:rPr>
        <w:t xml:space="preserve">Region Focus:</w:t>
      </w:r>
      <w:r>
        <w:t xml:space="preserve"> </w:t>
      </w:r>
      <w:r>
        <w:t xml:space="preserve">India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Ophthalmology Services in India New Delhi</dc:title>
  <dc:creator/>
  <dc:language>en</dc:language>
  <cp:keywords/>
  <dcterms:created xsi:type="dcterms:W3CDTF">2025-12-10T01:05:38Z</dcterms:created>
  <dcterms:modified xsi:type="dcterms:W3CDTF">2025-12-10T01:05:38Z</dcterms:modified>
</cp:coreProperties>
</file>

<file path=docProps/custom.xml><?xml version="1.0" encoding="utf-8"?>
<Properties xmlns="http://schemas.openxmlformats.org/officeDocument/2006/custom-properties" xmlns:vt="http://schemas.openxmlformats.org/officeDocument/2006/docPropsVTypes"/>
</file>