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1" w:name="Xef4f164f27c5bafa42bbb70a8ecb5d412c6e23d"/>
    <w:p>
      <w:pPr>
        <w:pStyle w:val="Heading1"/>
      </w:pPr>
      <w:r>
        <w:t xml:space="preserve">Comprehensive Sales Performance Report: Ophthalmology Services in Jakarta, Indonesia</w:t>
      </w:r>
    </w:p>
    <w:bookmarkStart w:id="30" w:name="X267c18cb73a6bda54ff0ec52e8a1ca0918c1caa"/>
    <w:p>
      <w:pPr>
        <w:pStyle w:val="Heading2"/>
      </w:pPr>
      <w:r>
        <w:t xml:space="preserve">Prepared For: Senior Management &amp; Stakeholders | Date: October 26, 2023</w:t>
      </w:r>
    </w:p>
    <w:bookmarkStart w:id="20" w:name="executive-summary"/>
    <w:p>
      <w:pPr>
        <w:pStyle w:val="Heading3"/>
      </w:pPr>
      <w:r>
        <w:t xml:space="preserve">Executive Summary</w:t>
      </w:r>
    </w:p>
    <w:p>
      <w:pPr>
        <w:pStyle w:val="FirstParagraph"/>
      </w:pPr>
      <w:r>
        <w:t xml:space="preserve">This Sales Report details the operational and financial performance of our Ophthalmologist services across Jakarta, Indonesia during Q3 2023. As the leading eye care provider in the Jakarta metropolitan area, our clinic has achieved significant growth with a 15.8% year-over-year increase in patient volume and a 12.3% revenue uplift to IDR 48.7 billion (USD $3.2M). This performance underscores Jakarta's growing demand for specialized ophthalmological care amid rising urban eye health challenges, positioning us as the premier choice for comprehensive vision solutions in Indonesia.</w:t>
      </w:r>
    </w:p>
    <w:bookmarkEnd w:id="20"/>
    <w:bookmarkStart w:id="21" w:name="Xe3c77caa8b215f28006d508f196c2a0f124501f"/>
    <w:p>
      <w:pPr>
        <w:pStyle w:val="Heading3"/>
      </w:pPr>
      <w:r>
        <w:t xml:space="preserve">Market Context: Ophthalmology Demand in Jakarta, Indonesia</w:t>
      </w:r>
    </w:p>
    <w:p>
      <w:pPr>
        <w:pStyle w:val="FirstParagraph"/>
      </w:pPr>
      <w:r>
        <w:t xml:space="preserve">Indonesia Jakarta faces a critical ophthalmology access gap. With 120 million residents and only 287 ophthalmologists nationwide (WHO), the city alone requires over 5,000 specialists to meet demand. Our market analysis confirms that Jakarta's urban population exhibits a 32% prevalence of vision disorders – double the national average – driven by digital screen exposure, air pollution, and aging demographics. This creates an urgent need for accessible Ophthalmologist services in our bustling metropolis.</w:t>
      </w:r>
    </w:p>
    <w:p>
      <w:pPr>
        <w:pStyle w:val="BodyText"/>
      </w:pPr>
      <w:r>
        <w:t xml:space="preserve">Competitive positioning remains strong: Our clinic maintains 68% market share in premium eye care (IDR &gt; IDR 1 million per visit) due to our integrated diagnostic technology and multilingual specialist team. Key competitors include private clinics (32% market share) and public hospitals (45%), which struggle with long wait times averaging 47 days versus our clinic's average 3-day appointment window.</w:t>
      </w:r>
    </w:p>
    <w:bookmarkEnd w:id="21"/>
    <w:bookmarkStart w:id="22" w:name="sales-performance-highlights"/>
    <w:p>
      <w:pPr>
        <w:pStyle w:val="Heading3"/>
      </w:pPr>
      <w:r>
        <w:t xml:space="preserve">Sales Performance Highlights</w:t>
      </w:r>
    </w:p>
    <w:p>
      <w:pPr>
        <w:pStyle w:val="FirstParagraph"/>
      </w:pPr>
      <w:r>
        <w:t xml:space="preserve">Service Category</w:t>
      </w:r>
    </w:p>
    <w:bookmarkEnd w:id="22"/>
    <w:p>
      <w:pPr>
        <w:pStyle w:val="BodyText"/>
      </w:pPr>
      <w:r>
        <w:t xml:space="preserve">Q2 2023 (IDR)</w:t>
      </w:r>
    </w:p>
    <w:p>
      <w:pPr>
        <w:pStyle w:val="BodyText"/>
      </w:pPr>
      <w:r>
        <w:t xml:space="preserve">Q3 2023 (IDR)</w:t>
      </w:r>
    </w:p>
    <w:p>
      <w:pPr>
        <w:pStyle w:val="BodyText"/>
      </w:pPr>
      <w:r>
        <w:t xml:space="preserve">% Change</w:t>
      </w:r>
    </w:p>
    <w:p>
      <w:pPr>
        <w:pStyle w:val="BodyText"/>
      </w:pPr>
      <w:r>
        <w:t xml:space="preserve">Cataract Surgery</w:t>
      </w:r>
    </w:p>
    <w:p>
      <w:pPr>
        <w:pStyle w:val="BodyText"/>
      </w:pPr>
      <w:r>
        <w:t xml:space="preserve">14,500,000,000</w:t>
      </w:r>
    </w:p>
    <w:p>
      <w:pPr>
        <w:pStyle w:val="BodyText"/>
      </w:pPr>
      <w:r>
        <w:t xml:space="preserve">17,258,439,625</w:t>
      </w:r>
    </w:p>
    <w:p>
      <w:pPr>
        <w:pStyle w:val="BodyText"/>
      </w:pPr>
      <w:r>
        <w:t xml:space="preserve">+19.8%</w:t>
      </w:r>
    </w:p>
    <w:p>
      <w:pPr>
        <w:pStyle w:val="BodyText"/>
      </w:pPr>
      <w:r>
        <w:t xml:space="preserve">Dry Eye Management</w:t>
      </w:r>
    </w:p>
    <w:p>
      <w:pPr>
        <w:pStyle w:val="BodyText"/>
      </w:pPr>
      <w:r>
        <w:t xml:space="preserve">6,789,532,143</w:t>
      </w:r>
    </w:p>
    <w:p>
      <w:pPr>
        <w:pStyle w:val="BodyText"/>
      </w:pPr>
      <w:r>
        <w:t xml:space="preserve">&lt;</w:t>
      </w:r>
    </w:p>
    <w:p>
      <w:pPr>
        <w:pStyle w:val="BodyText"/>
      </w:pPr>
      <w:r>
        <w:t xml:space="preserve">8,054,760,000</w:t>
      </w:r>
    </w:p>
    <w:p>
      <w:pPr>
        <w:pStyle w:val="BodyText"/>
      </w:pPr>
      <w:r>
        <w:t xml:space="preserve">+18.6%</w:t>
      </w:r>
    </w:p>
    <w:p>
      <w:pPr>
        <w:pStyle w:val="BodyText"/>
      </w:pPr>
      <w:r>
        <w:t xml:space="preserve">Retinal Exams (Diabetic Screening)</w:t>
      </w:r>
    </w:p>
    <w:p>
      <w:pPr>
        <w:pStyle w:val="BodyText"/>
      </w:pPr>
      <w:r>
        <w:t xml:space="preserve">4,213,795,832</w:t>
      </w:r>
    </w:p>
    <w:p>
      <w:pPr>
        <w:pStyle w:val="BodyText"/>
      </w:pPr>
      <w:r>
        <w:t xml:space="preserve">5,982,476,510</w:t>
      </w:r>
    </w:p>
    <w:p>
      <w:pPr>
        <w:pStyle w:val="BodyText"/>
      </w:pPr>
      <w:r>
        <w:t xml:space="preserve">+41.9%</w:t>
      </w:r>
    </w:p>
    <w:p>
      <w:pPr>
        <w:pStyle w:val="BodyText"/>
      </w:pPr>
      <w:r>
        <w:t xml:space="preserve">Laser Vision Correction</w:t>
      </w:r>
    </w:p>
    <w:p>
      <w:pPr>
        <w:pStyle w:val="BodyText"/>
      </w:pPr>
      <w:r>
        <w:t xml:space="preserve">8,300,672,190</w:t>
      </w:r>
    </w:p>
    <w:p>
      <w:pPr>
        <w:pStyle w:val="BodyText"/>
      </w:pPr>
      <w:r>
        <w:t xml:space="preserve">13,</w:t>
      </w:r>
      <w:r>
        <w:br/>
      </w:r>
      <w:r>
        <w:t xml:space="preserve">587,</w:t>
      </w:r>
      <w:r>
        <w:br/>
      </w:r>
      <w:r>
        <w:t xml:space="preserve">246,</w:t>
      </w:r>
      <w:r>
        <w:br/>
      </w:r>
      <w:r>
        <w:t xml:space="preserve">532</w:t>
      </w:r>
    </w:p>
    <w:p>
      <w:pPr>
        <w:pStyle w:val="BodyText"/>
      </w:pPr>
      <w:r>
        <w:rPr>
          <w:bCs/>
          <w:b/>
        </w:rPr>
        <w:t xml:space="preserve">Cataract surgery growth (19.8%)</w:t>
      </w:r>
      <w:r>
        <w:t xml:space="preserve"> </w:t>
      </w:r>
      <w:r>
        <w:t xml:space="preserve">was fueled by our partnership with Jakarta's Ministry of Health for subsidized screening camps in East Jakarta slums.</w:t>
      </w:r>
      <w:r>
        <w:t xml:space="preserve"> </w:t>
      </w:r>
      <w:r>
        <w:rPr>
          <w:bCs/>
          <w:b/>
        </w:rPr>
        <w:t xml:space="preserve">Dry eye services (+18.6%)</w:t>
      </w:r>
      <w:r>
        <w:t xml:space="preserve"> </w:t>
      </w:r>
      <w:r>
        <w:t xml:space="preserve">reflect rising urban lifestyle challenges, while the exceptional</w:t>
      </w:r>
      <w:r>
        <w:t xml:space="preserve"> </w:t>
      </w:r>
      <w:r>
        <w:rPr>
          <w:bCs/>
          <w:b/>
        </w:rPr>
        <w:t xml:space="preserve">diabetic retinal screening jump (41.9%)</w:t>
      </w:r>
      <w:r>
        <w:t xml:space="preserve"> </w:t>
      </w:r>
      <w:r>
        <w:t xml:space="preserve">demonstrates effective collaboration with 27 local clinics to identify at-risk patients early.</w:t>
      </w:r>
    </w:p>
    <w:bookmarkStart w:id="26" w:name="X8005e8d5d855e690a15614ed69512b0962982a5"/>
    <w:p>
      <w:pPr>
        <w:pStyle w:val="Heading3"/>
      </w:pPr>
      <w:r>
        <w:t xml:space="preserve">Strategic Initiatives Driving Sales in Jakarta</w:t>
      </w:r>
    </w:p>
    <w:p>
      <w:pPr>
        <w:pStyle w:val="FirstParagraph"/>
      </w:pPr>
      <w:r>
        <w:t xml:space="preserve">We implemented three key initiatives directly addressing Indonesia Jakarta's unique market dynamics:</w:t>
      </w:r>
    </w:p>
    <w:bookmarkStart w:id="23" w:name="X9b1da46568df985d18b59c9dafafe14d5bc92f4"/>
    <w:p>
      <w:pPr>
        <w:pStyle w:val="Heading4"/>
      </w:pPr>
      <w:r>
        <w:t xml:space="preserve">1. Community Eye Health Outreach Program (Jakarta-Specific)</w:t>
      </w:r>
    </w:p>
    <w:p>
      <w:pPr>
        <w:pStyle w:val="FirstParagraph"/>
      </w:pPr>
      <w:r>
        <w:t xml:space="preserve">Deployed mobile ophthalmology units to 15 low-income neighborhoods (e.g., Cipayung, Cilincing) in Q2, providing free screenings. This generated 872 high-value referrals to our clinic and boosted brand recognition by 34% among target demographics per local consumer surveys.</w:t>
      </w:r>
    </w:p>
    <w:bookmarkEnd w:id="23"/>
    <w:bookmarkStart w:id="24" w:name="digital-patient-journey-enhancement"/>
    <w:p>
      <w:pPr>
        <w:pStyle w:val="Heading4"/>
      </w:pPr>
      <w:r>
        <w:t xml:space="preserve">2. Digital Patient Journey Enhancement</w:t>
      </w:r>
    </w:p>
    <w:p>
      <w:pPr>
        <w:pStyle w:val="FirstParagraph"/>
      </w:pPr>
      <w:r>
        <w:t xml:space="preserve">Launched "Jakarta EyeCare" mobile app with Bahasa Indonesia and English interfaces, featuring tele-ophthalmology consultations. 68% of new patients now book via the app, reducing no-show rates by 27% and increasing patient retention by 19%. The app integrates with Jakarta's national healthcare database (JKN/KIS), streamlining insurance claims.</w:t>
      </w:r>
    </w:p>
    <w:bookmarkEnd w:id="24"/>
    <w:bookmarkStart w:id="25" w:name="specialist-collaboration-network"/>
    <w:p>
      <w:pPr>
        <w:pStyle w:val="Heading4"/>
      </w:pPr>
      <w:r>
        <w:t xml:space="preserve">3. Specialist Collaboration Network</w:t>
      </w:r>
    </w:p>
    <w:p>
      <w:pPr>
        <w:pStyle w:val="FirstParagraph"/>
      </w:pPr>
      <w:r>
        <w:t xml:space="preserve">Established partnerships with 56 leading hospitals across Jakarta (including Siloam, Cipto Mangunkusumo) for seamless referrals. This elevated our clinic to the top referral destination for complex cases, generating IDR 12.1 billion in cross-referral revenue during Q3.</w:t>
      </w:r>
    </w:p>
    <w:bookmarkEnd w:id="25"/>
    <w:bookmarkEnd w:id="26"/>
    <w:bookmarkStart w:id="27" w:name="X294e93af0de6cbc2d5324bba717c60774ea9fc5"/>
    <w:p>
      <w:pPr>
        <w:pStyle w:val="Heading3"/>
      </w:pPr>
      <w:r>
        <w:t xml:space="preserve">Challenges Faced in Indonesia Jakarta Market</w:t>
      </w:r>
    </w:p>
    <w:p>
      <w:pPr>
        <w:pStyle w:val="FirstParagraph"/>
      </w:pPr>
      <w:r>
        <w:t xml:space="preserve">Despite strong growth, we navigated significant hurdles unique to Jakarta:</w:t>
      </w:r>
    </w:p>
    <w:p>
      <w:pPr>
        <w:numPr>
          <w:ilvl w:val="0"/>
          <w:numId w:val="1001"/>
        </w:numPr>
        <w:pStyle w:val="Compact"/>
      </w:pPr>
      <w:r>
        <w:rPr>
          <w:bCs/>
          <w:b/>
        </w:rPr>
        <w:t xml:space="preserve">Infrastructure Constraints:</w:t>
      </w:r>
      <w:r>
        <w:t xml:space="preserve"> </w:t>
      </w:r>
      <w:r>
        <w:t xml:space="preserve">Traffic congestion (average commute 120 mins) caused 22% of patient no-shows. Solution: Launched "Jakarta Appointment Guarantee" with flexible time slots and ride-hailing partnerships for premium clients.</w:t>
      </w:r>
    </w:p>
    <w:p>
      <w:pPr>
        <w:numPr>
          <w:ilvl w:val="0"/>
          <w:numId w:val="1001"/>
        </w:numPr>
        <w:pStyle w:val="Compact"/>
      </w:pPr>
      <w:r>
        <w:rPr>
          <w:bCs/>
          <w:b/>
        </w:rPr>
        <w:t xml:space="preserve">Cultural Barriers:</w:t>
      </w:r>
      <w:r>
        <w:t xml:space="preserve"> </w:t>
      </w:r>
      <w:r>
        <w:t xml:space="preserve">Initial resistance to laser surgery among older patients due to traditional health beliefs. Solution: Partnered with Jakarta-based religious leaders for educational workshops, increasing procedure adoption by 31%.</w:t>
      </w:r>
    </w:p>
    <w:p>
      <w:pPr>
        <w:numPr>
          <w:ilvl w:val="0"/>
          <w:numId w:val="1001"/>
        </w:numPr>
        <w:pStyle w:val="Compact"/>
      </w:pPr>
      <w:r>
        <w:rPr>
          <w:bCs/>
          <w:b/>
        </w:rPr>
        <w:t xml:space="preserve">Regulatory Complexity:</w:t>
      </w:r>
      <w:r>
        <w:t xml:space="preserve"> </w:t>
      </w:r>
      <w:r>
        <w:t xml:space="preserve">Navigating Indonesia's varying healthcare permits across Jakarta districts required dedicated compliance team. Solution: Secured full accreditation in all 5 Jakarta administrative regions (Jakarta Pusat, Utara, Selatan, Barat, Timur) by Q3 end.</w:t>
      </w:r>
    </w:p>
    <w:bookmarkEnd w:id="27"/>
    <w:bookmarkStart w:id="28" w:name="future-strategy-investment-priorities"/>
    <w:p>
      <w:pPr>
        <w:pStyle w:val="Heading3"/>
      </w:pPr>
      <w:r>
        <w:t xml:space="preserve">Future Strategy &amp; Investment Priorities</w:t>
      </w:r>
    </w:p>
    <w:p>
      <w:pPr>
        <w:pStyle w:val="FirstParagraph"/>
      </w:pPr>
      <w:r>
        <w:t xml:space="preserve">To capitalize on Jakarta's burgeoning eye health market (projected 20% CAGR through 2027), we recommend:</w:t>
      </w:r>
    </w:p>
    <w:p>
      <w:pPr>
        <w:numPr>
          <w:ilvl w:val="0"/>
          <w:numId w:val="1002"/>
        </w:numPr>
        <w:pStyle w:val="Compact"/>
      </w:pPr>
      <w:r>
        <w:rPr>
          <w:bCs/>
          <w:b/>
        </w:rPr>
        <w:t xml:space="preserve">Expand Tele-Ophthalmology Infrastructure:</w:t>
      </w:r>
      <w:r>
        <w:t xml:space="preserve"> </w:t>
      </w:r>
      <w:r>
        <w:t xml:space="preserve">Invest IDR 18 billion to deploy AI-powered retinal screening kiosks in Jakarta public transit hubs (e.g., MRT stations, Soekarno-Hatta Airport terminals) targeting high-risk groups like taxi drivers and office workers.</w:t>
      </w:r>
    </w:p>
    <w:p>
      <w:pPr>
        <w:numPr>
          <w:ilvl w:val="0"/>
          <w:numId w:val="1002"/>
        </w:numPr>
        <w:pStyle w:val="Compact"/>
      </w:pPr>
      <w:r>
        <w:rPr>
          <w:bCs/>
          <w:b/>
        </w:rPr>
        <w:t xml:space="preserve">Enhance Preventive Care Partnerships:</w:t>
      </w:r>
      <w:r>
        <w:t xml:space="preserve"> </w:t>
      </w:r>
      <w:r>
        <w:t xml:space="preserve">Formalize agreements with Jakarta's 120+ corporate entities for annual eye check-ups. Targeting 50 new corporate contracts by Q1 2024, projected to generate IDR 9.6 billion in recurring revenue.</w:t>
      </w:r>
    </w:p>
    <w:p>
      <w:pPr>
        <w:numPr>
          <w:ilvl w:val="0"/>
          <w:numId w:val="1002"/>
        </w:numPr>
        <w:pStyle w:val="Compact"/>
      </w:pPr>
      <w:r>
        <w:rPr>
          <w:bCs/>
          <w:b/>
        </w:rPr>
        <w:t xml:space="preserve">Specialist Talent Development:</w:t>
      </w:r>
      <w:r>
        <w:t xml:space="preserve"> </w:t>
      </w:r>
      <w:r>
        <w:t xml:space="preserve">Launch "Jakarta Ophthalmology Fellowship" with Universitas Indonesia to train local specialists, addressing the national shortage while ensuring cultural competency in patient care.</w:t>
      </w:r>
    </w:p>
    <w:bookmarkEnd w:id="28"/>
    <w:bookmarkStart w:id="29" w:name="X70e2a6b6e5615fcb9ac191ba2eb69cd2ad4fbbd"/>
    <w:p>
      <w:pPr>
        <w:pStyle w:val="Heading3"/>
      </w:pPr>
      <w:r>
        <w:t xml:space="preserve">Conclusion: Sustaining Leadership in Jakarta Ophthalmology</w:t>
      </w:r>
    </w:p>
    <w:p>
      <w:pPr>
        <w:pStyle w:val="FirstParagraph"/>
      </w:pPr>
      <w:r>
        <w:t xml:space="preserve">This Q3 Sales Report confirms that our Ophthalmologist practice has successfully penetrated Jakarta's complex healthcare landscape through culturally attuned strategies and technology-driven patient solutions. With Indonesia Jakarta emerging as Southeast Asia's fastest-growing eye care market, our current growth trajectory positions us to capture 28% market share by 2025 – up from 18% in 2021.</w:t>
      </w:r>
    </w:p>
    <w:p>
      <w:pPr>
        <w:pStyle w:val="BodyText"/>
      </w:pPr>
      <w:r>
        <w:t xml:space="preserve">By embedding community-centric service models within Indonesia Jakarta's urban fabric, we are not merely selling medical procedures but building long-term vision health partnerships. Our continued investment in local talent development, digital innovation, and public-private collaborations will ensure sustained leadership as the region's most trusted Ophthalmologist provider. The path forward demands even greater integration with Jakarta's healthcare ecosystem – a commitment our team delivers daily to serve Indonesia's eyes with excellence.</w:t>
      </w:r>
    </w:p>
    <w:bookmarkEnd w:id="29"/>
    <w:p>
      <w:pPr>
        <w:pStyle w:val="BodyText"/>
      </w:pPr>
      <w:r>
        <w:t xml:space="preserve">Report prepared by: [Your Name/Department] | Confidential: For Internal Use Only | Sales Report Reference: OPH-JKT-2023-Q3</w:t>
      </w:r>
    </w:p>
    <w:p>
      <w:pPr>
        <w:pStyle w:val="BodyText"/>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Ophthalmology Services in Jakarta, Indonesia</dc:title>
  <dc:creator/>
  <dc:language>en</dc:language>
  <cp:keywords/>
  <dcterms:created xsi:type="dcterms:W3CDTF">2026-07-23T21:25:10Z</dcterms:created>
  <dcterms:modified xsi:type="dcterms:W3CDTF">2026-07-23T21:25:10Z</dcterms:modified>
</cp:coreProperties>
</file>

<file path=docProps/custom.xml><?xml version="1.0" encoding="utf-8"?>
<Properties xmlns="http://schemas.openxmlformats.org/officeDocument/2006/custom-properties" xmlns:vt="http://schemas.openxmlformats.org/officeDocument/2006/docPropsVTypes"/>
</file>