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9" w:name="X97f38d3eb89ba83b9c8cf1948e5c267faebd9f0"/>
    <w:p>
      <w:pPr>
        <w:pStyle w:val="Heading1"/>
      </w:pPr>
      <w:r>
        <w:t xml:space="preserve">Comprehensive Ophthalmologist Sales Performance Report: Iran Tehran Market (Q3 2023)</w:t>
      </w:r>
    </w:p>
    <w:bookmarkStart w:id="20" w:name="executive-summary"/>
    <w:p>
      <w:pPr>
        <w:pStyle w:val="Heading2"/>
      </w:pPr>
      <w:r>
        <w:t xml:space="preserve">Executive Summary</w:t>
      </w:r>
    </w:p>
    <w:p>
      <w:pPr>
        <w:pStyle w:val="FirstParagraph"/>
      </w:pPr>
      <w:r>
        <w:t xml:space="preserve">This Sales Report provides a detailed analysis of ophthalmic product and service sales performance across Tehran, Iran. The report highlights significant growth in the ophthalmology sector within the Iranian capital, driven by increasing demand for eye care services and advanced medical technologies. Our strategic focus on partnering with leading clinics in Tehran has yielded a 28% year-over-year sales increase, establishing our position as a premier supplier for ophthalmologists operating in Iran's most populous city.</w:t>
      </w:r>
    </w:p>
    <w:bookmarkEnd w:id="20"/>
    <w:bookmarkStart w:id="21" w:name="Xe067ee61e4871f0e7d2fba634a33022e0546736"/>
    <w:p>
      <w:pPr>
        <w:pStyle w:val="Heading2"/>
      </w:pPr>
      <w:r>
        <w:t xml:space="preserve">Market Context: Ophthalmology Landscape in Tehran, Iran</w:t>
      </w:r>
    </w:p>
    <w:p>
      <w:pPr>
        <w:pStyle w:val="FirstParagraph"/>
      </w:pPr>
      <w:r>
        <w:t xml:space="preserve">Tehran serves as the epicenter of medical innovation in Iran, housing 43% of the nation's specialized ophthalmic facilities. With a population exceeding 9 million and an aging demographic (18% aged 60+), demand for eye care services has surged. The Iranian Ministry of Health reports a 35% annual increase in cataract surgeries and diabetic retinopathy screenings across Tehran clinics. This market growth directly benefits ophthalmologists operating within Iran's capital, creating unprecedented sales opportunities for medical suppliers.</w:t>
      </w:r>
    </w:p>
    <w:bookmarkEnd w:id="21"/>
    <w:bookmarkStart w:id="22" w:name="Xcb7eb0b70cca755e2d8c5cfaa0104cafef77173"/>
    <w:p>
      <w:pPr>
        <w:pStyle w:val="Heading2"/>
      </w:pPr>
      <w:r>
        <w:t xml:space="preserve">Current Sales Performance: Key Metrics (Q3 2023)</w:t>
      </w:r>
    </w:p>
    <w:p>
      <w:pPr>
        <w:pStyle w:val="FirstParagraph"/>
      </w:pPr>
      <w:r>
        <w:t xml:space="preserve">Product/Service Category</w:t>
      </w:r>
    </w:p>
    <w:p>
      <w:pPr>
        <w:pStyle w:val="BodyText"/>
      </w:pPr>
      <w:r>
        <w:t xml:space="preserve">Sales Volume (Units)</w:t>
      </w:r>
    </w:p>
    <w:p>
      <w:pPr>
        <w:pStyle w:val="BodyText"/>
      </w:pPr>
      <w:r>
        <w:t xml:space="preserve">YoY Growth</w:t>
      </w:r>
    </w:p>
    <w:p>
      <w:pPr>
        <w:pStyle w:val="BodyText"/>
      </w:pPr>
      <w:r>
        <w:t xml:space="preserve">Top Performing Clinics in Tehran</w:t>
      </w:r>
    </w:p>
    <w:p>
      <w:pPr>
        <w:pStyle w:val="BodyText"/>
      </w:pPr>
      <w:r>
        <w:t xml:space="preserve">Ophthalmic Surgical Instruments</w:t>
      </w:r>
    </w:p>
    <w:p>
      <w:pPr>
        <w:pStyle w:val="BodyText"/>
      </w:pPr>
      <w:r>
        <w:t xml:space="preserve">1,850</w:t>
      </w:r>
    </w:p>
    <w:p>
      <w:pPr>
        <w:pStyle w:val="BodyText"/>
      </w:pPr>
      <w:r>
        <w:t xml:space="preserve">+32%</w:t>
      </w:r>
    </w:p>
    <w:p>
      <w:pPr>
        <w:pStyle w:val="BodyText"/>
      </w:pPr>
      <w:r>
        <w:t xml:space="preserve">Tehran Eye Center, Shariati Hospital Ophthalmology Dept.</w:t>
      </w:r>
    </w:p>
    <w:p>
      <w:pPr>
        <w:pStyle w:val="BodyText"/>
      </w:pPr>
      <w:r>
        <w:t xml:space="preserve">Laser Vision Correction Systems</w:t>
      </w:r>
    </w:p>
    <w:p>
      <w:pPr>
        <w:pStyle w:val="BodyText"/>
      </w:pPr>
      <w:r>
        <w:t xml:space="preserve">42</w:t>
      </w:r>
    </w:p>
    <w:p>
      <w:pPr>
        <w:pStyle w:val="BodyText"/>
      </w:pPr>
      <w:r>
        <w:br/>
      </w:r>
      <w:r>
        <w:t xml:space="preserve">(Laser Platforms)</w:t>
      </w:r>
    </w:p>
    <w:p>
      <w:pPr>
        <w:pStyle w:val="BodyText"/>
      </w:pPr>
      <w:r>
        <w:t xml:space="preserve">+47%</w:t>
      </w:r>
    </w:p>
    <w:p>
      <w:pPr>
        <w:pStyle w:val="BodyText"/>
      </w:pPr>
      <w:r>
        <w:br/>
      </w:r>
    </w:p>
    <w:p>
      <w:pPr>
        <w:pStyle w:val="BodyText"/>
      </w:pPr>
      <w:r>
        <w:t xml:space="preserve">Diagnostic Equipment (OCT, Slit Lamp)</w:t>
      </w:r>
    </w:p>
    <w:p>
      <w:pPr>
        <w:pStyle w:val="BodyText"/>
      </w:pPr>
      <w:r>
        <w:t xml:space="preserve">287</w:t>
      </w:r>
    </w:p>
    <w:p>
      <w:pPr>
        <w:pStyle w:val="BodyText"/>
      </w:pPr>
      <w:r>
        <w:t xml:space="preserve">+29%</w:t>
      </w:r>
    </w:p>
    <w:p>
      <w:pPr>
        <w:pStyle w:val="BodyText"/>
      </w:pPr>
      <w:r>
        <w:t xml:space="preserve">Sina Hospital, Iran University of Medical Sciences Clinics</w:t>
      </w:r>
    </w:p>
    <w:p>
      <w:pPr>
        <w:pStyle w:val="BodyText"/>
      </w:pPr>
      <w:r>
        <w:t xml:space="preserve">Total Revenue (Toman)</w:t>
      </w:r>
    </w:p>
    <w:p>
      <w:pPr>
        <w:pStyle w:val="BodyText"/>
      </w:pPr>
      <w:r>
        <w:br/>
      </w:r>
    </w:p>
    <w:p>
      <w:pPr>
        <w:pStyle w:val="BodyText"/>
      </w:pPr>
      <w:r>
        <w:t xml:space="preserve">1.85 Trillion</w:t>
      </w:r>
    </w:p>
    <w:p>
      <w:pPr>
        <w:pStyle w:val="BodyText"/>
      </w:pPr>
      <w:r>
        <w:br/>
      </w:r>
      <w:r>
        <w:t xml:space="preserve">(</w:t>
      </w:r>
      <w:r>
        <w:rPr>
          <w:iCs/>
          <w:i/>
        </w:rPr>
        <w:t xml:space="preserve">32% increase from Q3 2022</w:t>
      </w:r>
      <w:r>
        <w:t xml:space="preserve">)</w:t>
      </w:r>
    </w:p>
    <w:bookmarkEnd w:id="22"/>
    <w:bookmarkStart w:id="23" w:name="X8cf772f8b0dfc1e64fa75bf40801c58df0b5c7b"/>
    <w:p>
      <w:pPr>
        <w:pStyle w:val="Heading2"/>
      </w:pPr>
      <w:r>
        <w:t xml:space="preserve">Strategic Analysis: Why Tehran Dominates Ophthalmology Sales in Iran</w:t>
      </w:r>
    </w:p>
    <w:p>
      <w:pPr>
        <w:pStyle w:val="FirstParagraph"/>
      </w:pPr>
      <w:r>
        <w:t xml:space="preserve">The concentration of sales success in Iran Tehran stems from three critical factors:</w:t>
      </w:r>
    </w:p>
    <w:p>
      <w:pPr>
        <w:numPr>
          <w:ilvl w:val="0"/>
          <w:numId w:val="1001"/>
        </w:numPr>
        <w:pStyle w:val="Compact"/>
      </w:pPr>
      <w:r>
        <w:rPr>
          <w:bCs/>
          <w:b/>
        </w:rPr>
        <w:t xml:space="preserve">Healthcare Infrastructure:</w:t>
      </w:r>
      <w:r>
        <w:t xml:space="preserve"> </w:t>
      </w:r>
      <w:r>
        <w:t xml:space="preserve">Tehran houses 75% of Iran's certified ophthalmology specialists and all major eye research facilities, creating a dense customer base for medical suppliers. The city's advanced healthcare network includes 24 specialized eye hospitals directly connected to our sales channels.</w:t>
      </w:r>
    </w:p>
    <w:p>
      <w:pPr>
        <w:numPr>
          <w:ilvl w:val="0"/>
          <w:numId w:val="1001"/>
        </w:numPr>
        <w:pStyle w:val="Compact"/>
      </w:pPr>
      <w:r>
        <w:rPr>
          <w:bCs/>
          <w:b/>
        </w:rPr>
        <w:t xml:space="preserve">Government Initiatives:</w:t>
      </w:r>
      <w:r>
        <w:t xml:space="preserve"> </w:t>
      </w:r>
      <w:r>
        <w:t xml:space="preserve">Recent Ministry of Health directives prioritizing vision care have allocated $180 million for ophthalmic equipment modernization across Tehran public clinics. This policy shift has accelerated procurement cycles, directly boosting sales volumes for approved suppliers like ours.</w:t>
      </w:r>
    </w:p>
    <w:p>
      <w:pPr>
        <w:numPr>
          <w:ilvl w:val="0"/>
          <w:numId w:val="1001"/>
        </w:numPr>
        <w:pStyle w:val="Compact"/>
      </w:pPr>
      <w:r>
        <w:rPr>
          <w:bCs/>
          <w:b/>
        </w:rPr>
        <w:t xml:space="preserve">Demand Drivers:</w:t>
      </w:r>
      <w:r>
        <w:t xml:space="preserve"> </w:t>
      </w:r>
      <w:r>
        <w:t xml:space="preserve">Rising urbanization and digital screen usage in Tehran have increased age-related macular degeneration (AMD) cases by 41% since 2020. Ophthalmologists across Iran's capital report 65% of new patients presenting with digital eye strain, creating consistent demand for diagnostic tools and therapeutic products.</w:t>
      </w:r>
    </w:p>
    <w:bookmarkEnd w:id="23"/>
    <w:bookmarkStart w:id="24" w:name="Xb0cbecd31848fe8b3a33c4c593e3423d2573352"/>
    <w:p>
      <w:pPr>
        <w:pStyle w:val="Heading2"/>
      </w:pPr>
      <w:r>
        <w:t xml:space="preserve">Challenges in the Tehran Ophthalmologist Sales Environment</w:t>
      </w:r>
    </w:p>
    <w:p>
      <w:pPr>
        <w:pStyle w:val="FirstParagraph"/>
      </w:pPr>
      <w:r>
        <w:t xml:space="preserve">Despite strong growth, our Sales Report identifies critical challenges specific to Iran Tehran:</w:t>
      </w:r>
    </w:p>
    <w:p>
      <w:pPr>
        <w:numPr>
          <w:ilvl w:val="0"/>
          <w:numId w:val="1002"/>
        </w:numPr>
        <w:pStyle w:val="Compact"/>
      </w:pPr>
      <w:r>
        <w:rPr>
          <w:bCs/>
          <w:b/>
        </w:rPr>
        <w:t xml:space="preserve">Currency Volatility:</w:t>
      </w:r>
      <w:r>
        <w:t xml:space="preserve"> </w:t>
      </w:r>
      <w:r>
        <w:t xml:space="preserve">The 45% depreciation of Iranian Rial against USD has increased import costs for surgical instruments. We've mitigated this through local assembly partnerships at Tehran's Medical Equipment Park.</w:t>
      </w:r>
    </w:p>
    <w:p>
      <w:pPr>
        <w:numPr>
          <w:ilvl w:val="0"/>
          <w:numId w:val="1002"/>
        </w:numPr>
        <w:pStyle w:val="Compact"/>
      </w:pPr>
      <w:r>
        <w:rPr>
          <w:bCs/>
          <w:b/>
        </w:rPr>
        <w:t xml:space="preserve">Regulatory Complexity:</w:t>
      </w:r>
      <w:r>
        <w:t xml:space="preserve"> </w:t>
      </w:r>
      <w:r>
        <w:t xml:space="preserve">Navigating Iran's FDA equivalent (ISFA) approval process requires 3-4 additional months per product. Our dedicated Tehran compliance team has reduced approval timelines by 22% through proactive engagement with regulatory bodies.</w:t>
      </w:r>
    </w:p>
    <w:p>
      <w:pPr>
        <w:numPr>
          <w:ilvl w:val="0"/>
          <w:numId w:val="1002"/>
        </w:numPr>
        <w:pStyle w:val="Compact"/>
      </w:pPr>
      <w:r>
        <w:rPr>
          <w:bCs/>
          <w:b/>
        </w:rPr>
        <w:t xml:space="preserve">Supply Chain Disruptions:</w:t>
      </w:r>
      <w:r>
        <w:t xml:space="preserve"> </w:t>
      </w:r>
      <w:r>
        <w:t xml:space="preserve">International sanctions impact shipping schedules, causing average 17-day delays for critical spare parts. We've established a local Tehran inventory hub holding 60 days of essential stock for our top ophthalmologist clients.</w:t>
      </w:r>
    </w:p>
    <w:bookmarkEnd w:id="24"/>
    <w:bookmarkStart w:id="25" w:name="X8e1cb3e44c770fcc99d4890a3334cd288b7213c"/>
    <w:p>
      <w:pPr>
        <w:pStyle w:val="Heading2"/>
      </w:pPr>
      <w:r>
        <w:t xml:space="preserve">Opportunities for Sales Growth in Iran Tehran</w:t>
      </w:r>
    </w:p>
    <w:p>
      <w:pPr>
        <w:pStyle w:val="FirstParagraph"/>
      </w:pPr>
      <w:r>
        <w:t xml:space="preserve">Our analysis reveals three high-potential growth vectors:</w:t>
      </w:r>
    </w:p>
    <w:p>
      <w:pPr>
        <w:numPr>
          <w:ilvl w:val="0"/>
          <w:numId w:val="1003"/>
        </w:numPr>
        <w:pStyle w:val="Compact"/>
      </w:pPr>
      <w:r>
        <w:rPr>
          <w:bCs/>
          <w:b/>
        </w:rPr>
        <w:t xml:space="preserve">Tele-Ophthalmology Expansion:</w:t>
      </w:r>
      <w:r>
        <w:t xml:space="preserve"> </w:t>
      </w:r>
      <w:r>
        <w:t xml:space="preserve">Partnering with Tehran-based startups (e.g., EyeCare.ir) to bundle our diagnostic tools with telemedicine platforms. Early pilots show 200+ ophthalmologists in Tehran adopting this model, creating recurring revenue streams.</w:t>
      </w:r>
    </w:p>
    <w:p>
      <w:pPr>
        <w:numPr>
          <w:ilvl w:val="0"/>
          <w:numId w:val="1003"/>
        </w:numPr>
        <w:pStyle w:val="Compact"/>
      </w:pPr>
      <w:r>
        <w:rPr>
          <w:bCs/>
          <w:b/>
        </w:rPr>
        <w:t xml:space="preserve">School Vision Screening Programs:</w:t>
      </w:r>
      <w:r>
        <w:t xml:space="preserve"> </w:t>
      </w:r>
      <w:r>
        <w:t xml:space="preserve">Government contracts for school eye exams across Tehran's 12,000+ schools represent a $35 million opportunity. Our sales team secured contracts with 4 major municipal districts in Q3.</w:t>
      </w:r>
    </w:p>
    <w:p>
      <w:pPr>
        <w:numPr>
          <w:ilvl w:val="0"/>
          <w:numId w:val="1003"/>
        </w:numPr>
        <w:pStyle w:val="Compact"/>
      </w:pPr>
      <w:r>
        <w:rPr>
          <w:bCs/>
          <w:b/>
        </w:rPr>
        <w:t xml:space="preserve">Specialized Product Lines:</w:t>
      </w:r>
      <w:r>
        <w:t xml:space="preserve"> </w:t>
      </w:r>
      <w:r>
        <w:t xml:space="preserve">Developing low-cost retinal scanners for Tehran's rural satellite clinics (e.g., Malard, Shemiranat). This addresses an unmet need identified through direct consultations with ophthalmologists across Tehran.</w:t>
      </w:r>
    </w:p>
    <w:bookmarkEnd w:id="25"/>
    <w:bookmarkStart w:id="26" w:name="X12a56e6d447fa0eb749c87fa4498d81152acf08"/>
    <w:p>
      <w:pPr>
        <w:pStyle w:val="Heading2"/>
      </w:pPr>
      <w:r>
        <w:t xml:space="preserve">Strategic Recommendations for Ophthalmologist Sales Success in Iran</w:t>
      </w:r>
    </w:p>
    <w:p>
      <w:pPr>
        <w:pStyle w:val="FirstParagraph"/>
      </w:pPr>
      <w:r>
        <w:t xml:space="preserve">Based on our comprehensive Sales Report, we propose these actions to maximize revenue in Iran Tehran:</w:t>
      </w:r>
    </w:p>
    <w:p>
      <w:pPr>
        <w:numPr>
          <w:ilvl w:val="0"/>
          <w:numId w:val="1004"/>
        </w:numPr>
        <w:pStyle w:val="Compact"/>
      </w:pPr>
      <w:r>
        <w:rPr>
          <w:bCs/>
          <w:b/>
        </w:rPr>
        <w:t xml:space="preserve">Localize Product Offerings:</w:t>
      </w:r>
      <w:r>
        <w:t xml:space="preserve"> </w:t>
      </w:r>
      <w:r>
        <w:t xml:space="preserve">Establish a Tehran R&amp;D center by Q2 2024 to develop cost-optimized surgical tools meeting local pricing constraints. Ophthalmologists consistently request price-sensitive solutions.</w:t>
      </w:r>
    </w:p>
    <w:p>
      <w:pPr>
        <w:numPr>
          <w:ilvl w:val="0"/>
          <w:numId w:val="1004"/>
        </w:numPr>
        <w:pStyle w:val="Compact"/>
      </w:pPr>
      <w:r>
        <w:rPr>
          <w:bCs/>
          <w:b/>
        </w:rPr>
        <w:t xml:space="preserve">Build Clinician Partnerships:</w:t>
      </w:r>
      <w:r>
        <w:t xml:space="preserve"> </w:t>
      </w:r>
      <w:r>
        <w:t xml:space="preserve">Create a "Tehran Ophthalmologist Advisory Board" with leading specialists (e.g., Dr. Seyed Javad Mirzadeh at Farabi Eye Hospital) to co-develop products and reduce time-to-market by 35%.</w:t>
      </w:r>
    </w:p>
    <w:p>
      <w:pPr>
        <w:numPr>
          <w:ilvl w:val="0"/>
          <w:numId w:val="1004"/>
        </w:numPr>
        <w:pStyle w:val="Compact"/>
      </w:pPr>
      <w:r>
        <w:rPr>
          <w:bCs/>
          <w:b/>
        </w:rPr>
        <w:t xml:space="preserve">Expand Digital Sales Channels:</w:t>
      </w:r>
      <w:r>
        <w:t xml:space="preserve"> </w:t>
      </w:r>
      <w:r>
        <w:t xml:space="preserve">Launch a Persian-language mobile app for Tehran-based ophthalmologists featuring instant inventory checks, appointment scheduling, and AI-powered product recommendations. Pilot with 120 clinics in Q4.</w:t>
      </w:r>
    </w:p>
    <w:bookmarkEnd w:id="26"/>
    <w:bookmarkStart w:id="28" w:name="X8adbad365db2ecf089c06ade9a4bc881401635b"/>
    <w:p>
      <w:pPr>
        <w:pStyle w:val="Heading2"/>
      </w:pPr>
      <w:r>
        <w:t xml:space="preserve">Conclusion: The Future of Ophthalmology Sales in Iran Tehran</w:t>
      </w:r>
    </w:p>
    <w:p>
      <w:pPr>
        <w:pStyle w:val="FirstParagraph"/>
      </w:pPr>
      <w:r>
        <w:t xml:space="preserve">The Iranian ophthalmology market is poised for transformative growth, with Tehran as the undisputed sales epicenter. Our Sales Report confirms that targeted investments in this city deliver outsized returns due to its concentration of medical expertise, government healthcare initiatives, and escalating patient demand. By prioritizing local partnerships and regulatory navigation within Iran Tehran, we project 35%+ annual revenue growth through 2025. This report underscores that success for ophthalmologists selling in Iran's capital requires deep understanding of Tehran's unique healthcare ecosystem – where medical excellence meets strategic commercial opportunity. The path forward is clear: deepen our presence with Tehran-based ophthalmologists, innovate within Iran's specific market constraints, and capitalize on the city's position as the nation's eye care innovation hub.</w:t>
      </w:r>
    </w:p>
    <w:bookmarkStart w:id="27" w:name="prepared-for"/>
    <w:p>
      <w:pPr>
        <w:pStyle w:val="Heading3"/>
      </w:pPr>
      <w:r>
        <w:t xml:space="preserve">Prepared For:</w:t>
      </w:r>
    </w:p>
    <w:p>
      <w:pPr>
        <w:pStyle w:val="FirstParagraph"/>
      </w:pPr>
      <w:r>
        <w:t xml:space="preserve">Iran Medical Supply Group Board of Directors</w:t>
      </w:r>
      <w:r>
        <w:br/>
      </w:r>
      <w:r>
        <w:t xml:space="preserve">Date: October 26, 2023</w:t>
      </w:r>
      <w:r>
        <w:br/>
      </w:r>
      <w:r>
        <w:t xml:space="preserve">Confidential – Sales Report for Iran Tehran Ophthalmology Market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Iran Tehran Market Analysis</dc:title>
  <dc:creator/>
  <dc:language>en</dc:language>
  <cp:keywords/>
  <dcterms:created xsi:type="dcterms:W3CDTF">2025-12-09T07:17:27Z</dcterms:created>
  <dcterms:modified xsi:type="dcterms:W3CDTF">2025-12-09T07:17:27Z</dcterms:modified>
</cp:coreProperties>
</file>

<file path=docProps/custom.xml><?xml version="1.0" encoding="utf-8"?>
<Properties xmlns="http://schemas.openxmlformats.org/officeDocument/2006/custom-properties" xmlns:vt="http://schemas.openxmlformats.org/officeDocument/2006/docPropsVTypes"/>
</file>