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7" w:name="Xae69f6436baaafbd5dcef8d239b2e36b4d98043"/>
    <w:p>
      <w:pPr>
        <w:pStyle w:val="Heading1"/>
      </w:pPr>
      <w:r>
        <w:t xml:space="preserve">Comprehensive Ophthalmologist Sales Report: Strategic Performance in Iraq Baghdad (Q3 2023)</w:t>
      </w:r>
    </w:p>
    <w:bookmarkStart w:id="20" w:name="executive-summary"/>
    <w:p>
      <w:pPr>
        <w:pStyle w:val="Heading2"/>
      </w:pPr>
      <w:r>
        <w:t xml:space="preserve">Executive Summary</w:t>
      </w:r>
    </w:p>
    <w:p>
      <w:pPr>
        <w:pStyle w:val="FirstParagraph"/>
      </w:pPr>
      <w:r>
        <w:t xml:space="preserve">This quarterly Sales Report details the performance of ophthalmic services and medical equipment within the Baghdad healthcare market, specifically focusing on the critical role of the ophthalmologist as a primary care provider. The data reveals significant growth in demand for specialized eye care across Iraq Baghdad, driven by increased urbanization, rising awareness of eye health issues, and strategic investments in healthcare infrastructure. This Sales Report confirms that ophthalmology services represent one of the most promising verticals for medical providers operating within Iraq Baghdad's evolving healthcare ecosystem.</w:t>
      </w:r>
    </w:p>
    <w:bookmarkEnd w:id="20"/>
    <w:bookmarkStart w:id="21" w:name="Xf6335cf1e950da91ca9e6bee385b789f2e2af33"/>
    <w:p>
      <w:pPr>
        <w:pStyle w:val="Heading2"/>
      </w:pPr>
      <w:r>
        <w:t xml:space="preserve">Market Context: Ophthalmologist Demand in Iraq Baghdad</w:t>
      </w:r>
    </w:p>
    <w:p>
      <w:pPr>
        <w:pStyle w:val="FirstParagraph"/>
      </w:pPr>
      <w:r>
        <w:t xml:space="preserve">Baghdad, as the capital and economic hub of Iraq, faces a critical shortage of qualified ophthalmologists. With only 0.5 ophthalmologists per 100,000 residents (compared to the WHO-recommended 1:5,000), the demand for eye care services in Baghdad exceeds supply by over 37%. This scarcity creates an urgent market opportunity for clinics and medical providers offering specialized ophthalmologist services. The current Sales Report identifies that Baghdad's urban population (over 8 million residents) generates approximately 42,000 new annual eye care consultations, with a projected 15% CAGR in demand through 2025. This growth trajectory makes the ophthalmologist a pivotal figure in Baghdad's healthcare transformation.</w:t>
      </w:r>
    </w:p>
    <w:bookmarkEnd w:id="21"/>
    <w:bookmarkStart w:id="22" w:name="Xd6b67623cfbb1bc35f3423a3e7e605a0f8e2a43"/>
    <w:p>
      <w:pPr>
        <w:pStyle w:val="Heading2"/>
      </w:pPr>
      <w:r>
        <w:t xml:space="preserve">Quarterly Sales Performance Analysis (Q3 2023)</w:t>
      </w:r>
    </w:p>
    <w:p>
      <w:pPr>
        <w:pStyle w:val="FirstParagraph"/>
      </w:pPr>
      <w:r>
        <w:t xml:space="preserve">Service/Product Category</w:t>
      </w:r>
    </w:p>
    <w:p>
      <w:pPr>
        <w:pStyle w:val="BodyText"/>
      </w:pPr>
      <w:r>
        <w:t xml:space="preserve">Q1 2023 Sales ($)</w:t>
      </w:r>
    </w:p>
    <w:p>
      <w:pPr>
        <w:pStyle w:val="BodyText"/>
      </w:pPr>
      <w:r>
        <w:t xml:space="preserve">Q2 2023 Sales ($)</w:t>
      </w:r>
    </w:p>
    <w:p>
      <w:pPr>
        <w:pStyle w:val="BodyText"/>
      </w:pPr>
      <w:r>
        <w:t xml:space="preserve">Q3 2023 Sales ($)</w:t>
      </w:r>
    </w:p>
    <w:p>
      <w:pPr>
        <w:pStyle w:val="BodyText"/>
      </w:pPr>
      <w:r>
        <w:t xml:space="preserve">% Growth (Q3 vs Q2)</w:t>
      </w:r>
    </w:p>
    <w:p>
      <w:pPr>
        <w:pStyle w:val="BodyText"/>
      </w:pPr>
      <w:r>
        <w:t xml:space="preserve">Ophthalmologist Consultations</w:t>
      </w:r>
    </w:p>
    <w:p>
      <w:pPr>
        <w:pStyle w:val="BodyText"/>
      </w:pPr>
      <w:r>
        <w:t xml:space="preserve">145,000</w:t>
      </w:r>
    </w:p>
    <w:p>
      <w:pPr>
        <w:pStyle w:val="BodyText"/>
      </w:pPr>
      <w:r>
        <w:t xml:space="preserve">168,500</w:t>
      </w:r>
    </w:p>
    <w:p>
      <w:pPr>
        <w:pStyle w:val="BodyText"/>
      </w:pPr>
      <w:r>
        <w:t xml:space="preserve">217,300</w:t>
      </w:r>
    </w:p>
    <w:p>
      <w:pPr>
        <w:pStyle w:val="BodyText"/>
      </w:pPr>
      <w:r>
        <w:t xml:space="preserve">+29.0%</w:t>
      </w:r>
    </w:p>
    <w:p>
      <w:pPr>
        <w:pStyle w:val="BodyText"/>
      </w:pPr>
      <w:r>
        <w:t xml:space="preserve">Laser Vision Correction (LASIK)</w:t>
      </w:r>
    </w:p>
    <w:p>
      <w:pPr>
        <w:pStyle w:val="BodyText"/>
      </w:pPr>
      <w:r>
        <w:t xml:space="preserve">&lt;</w:t>
      </w:r>
    </w:p>
    <w:p>
      <w:pPr>
        <w:pStyle w:val="BodyText"/>
      </w:pPr>
      <w:r>
        <w:t xml:space="preserve">38,250</w:t>
      </w:r>
    </w:p>
    <w:p>
      <w:pPr>
        <w:pStyle w:val="BodyText"/>
      </w:pPr>
      <w:r>
        <w:t xml:space="preserve">&lt;</w:t>
      </w:r>
    </w:p>
    <w:p>
      <w:pPr>
        <w:pStyle w:val="BodyText"/>
      </w:pPr>
      <w:r>
        <w:t xml:space="preserve">47,895</w:t>
      </w:r>
    </w:p>
    <w:p>
      <w:pPr>
        <w:pStyle w:val="BodyText"/>
      </w:pPr>
      <w:r>
        <w:rPr>
          <w:bCs/>
          <w:b/>
        </w:rPr>
        <w:t xml:space="preserve">64,112</w:t>
      </w:r>
      <w:r>
        <w:t xml:space="preserve"> </w:t>
      </w:r>
      <w:r>
        <w:t xml:space="preserve">+33.9%</w:t>
      </w:r>
    </w:p>
    <w:p>
      <w:pPr>
        <w:pStyle w:val="BodyText"/>
      </w:pPr>
      <w:r>
        <w:t xml:space="preserve">Digital Eye Exams (with AI Diagnostics)</w:t>
      </w:r>
    </w:p>
    <w:p>
      <w:pPr>
        <w:pStyle w:val="BodyText"/>
      </w:pPr>
      <w:r>
        <w:t xml:space="preserve">22,000</w:t>
      </w:r>
    </w:p>
    <w:p>
      <w:pPr>
        <w:pStyle w:val="BodyText"/>
      </w:pPr>
      <w:r>
        <w:t xml:space="preserve">28,450</w:t>
      </w:r>
    </w:p>
    <w:p>
      <w:pPr>
        <w:pStyle w:val="BodyText"/>
      </w:pPr>
      <w:r>
        <w:t xml:space="preserve">41,675</w:t>
      </w:r>
    </w:p>
    <w:p>
      <w:pPr>
        <w:pStyle w:val="BodyText"/>
      </w:pPr>
      <w:r>
        <w:rPr>
          <w:bCs/>
          <w:b/>
        </w:rPr>
        <w:t xml:space="preserve">+46.5%</w:t>
      </w:r>
      <w:r>
        <w:t xml:space="preserve"> </w:t>
      </w:r>
      <w:r>
        <w:t xml:space="preserve">+33.9%</w:t>
      </w:r>
    </w:p>
    <w:p>
      <w:pPr>
        <w:pStyle w:val="BodyText"/>
      </w:pPr>
      <w:r>
        <w:t xml:space="preserve">Total Revenue</w:t>
      </w:r>
    </w:p>
    <w:p>
      <w:pPr>
        <w:pStyle w:val="BodyText"/>
      </w:pPr>
      <w:r>
        <w:t xml:space="preserve">$205,250</w:t>
      </w:r>
    </w:p>
    <w:p>
      <w:pPr>
        <w:pStyle w:val="BodyText"/>
      </w:pPr>
      <w:r>
        <w:t xml:space="preserve">$244,845</w:t>
      </w:r>
    </w:p>
    <w:p>
      <w:pPr>
        <w:pStyle w:val="BodyText"/>
      </w:pPr>
      <w:r>
        <w:t xml:space="preserve">$323,087</w:t>
      </w:r>
    </w:p>
    <w:p>
      <w:pPr>
        <w:pStyle w:val="BodyText"/>
      </w:pPr>
      <w:r>
        <w:t xml:space="preserve">+32.0%</w:t>
      </w:r>
    </w:p>
    <w:p>
      <w:pPr>
        <w:pStyle w:val="BodyText"/>
      </w:pPr>
      <w:r>
        <w:t xml:space="preserve">The Q3 2023 Sales Report demonstrates remarkable acceleration in ophthalmologist service adoption across Baghdad. Laser vision correction and AI-enhanced eye exams drove the most significant growth, with digital eye diagnostics showing the highest percentage increase (+46.5%). This surge directly correlates with Baghdad's new telemedicine initiative (launched June 2023) that connects rural patients to ophthalmologists in central Baghdad clinics, expanding service reach beyond urban centers.</w:t>
      </w:r>
    </w:p>
    <w:bookmarkEnd w:id="22"/>
    <w:bookmarkStart w:id="23" w:name="Xe7427a55a7cd64b21aa2aabafc9f8d4bd1d8ef4"/>
    <w:p>
      <w:pPr>
        <w:pStyle w:val="Heading2"/>
      </w:pPr>
      <w:r>
        <w:t xml:space="preserve">Key Success Factors Driving Ophthalmologist Sales in Iraq Baghdad</w:t>
      </w:r>
    </w:p>
    <w:p>
      <w:pPr>
        <w:numPr>
          <w:ilvl w:val="0"/>
          <w:numId w:val="1001"/>
        </w:numPr>
        <w:pStyle w:val="Compact"/>
      </w:pPr>
      <w:r>
        <w:rPr>
          <w:bCs/>
          <w:b/>
        </w:rPr>
        <w:t xml:space="preserve">Strategic Partnerships with Hospitals:</w:t>
      </w:r>
      <w:r>
        <w:t xml:space="preserve"> </w:t>
      </w:r>
      <w:r>
        <w:t xml:space="preserve">Collaborations with Al-Kadhimiyah Teaching Hospital and Ibn Sina Medical Complex have increased ophthalmologist referrals by 41% since Q1. This Sales Report highlights that 68% of new consultation clients came through hospital partnerships.</w:t>
      </w:r>
    </w:p>
    <w:p>
      <w:pPr>
        <w:numPr>
          <w:ilvl w:val="0"/>
          <w:numId w:val="1001"/>
        </w:numPr>
        <w:pStyle w:val="Compact"/>
      </w:pPr>
      <w:r>
        <w:rPr>
          <w:bCs/>
          <w:b/>
        </w:rPr>
        <w:t xml:space="preserve">Community Eye Screening Campaigns:</w:t>
      </w:r>
      <w:r>
        <w:t xml:space="preserve"> </w:t>
      </w:r>
      <w:r>
        <w:t xml:space="preserve">Free mobile clinics in Sadr City and Karrada districts generated 2,300 lead conversions for Baghdad ophthalmologist services, representing a 27% increase from Q2. These initiatives directly address Baghdad's high myopia rates (affecting 38% of children under 16).</w:t>
      </w:r>
    </w:p>
    <w:p>
      <w:pPr>
        <w:numPr>
          <w:ilvl w:val="0"/>
          <w:numId w:val="1001"/>
        </w:numPr>
        <w:pStyle w:val="Compact"/>
      </w:pPr>
      <w:r>
        <w:rPr>
          <w:bCs/>
          <w:b/>
        </w:rPr>
        <w:t xml:space="preserve">Government Healthcare Initiatives:</w:t>
      </w:r>
      <w:r>
        <w:t xml:space="preserve"> </w:t>
      </w:r>
      <w:r>
        <w:t xml:space="preserve">The Iraqi Ministry of Health's "Vision for All" program subsidizes 30% of cataract surgeries in Baghdad, making ophthalmologist services accessible to low-income populations. This policy has increased cataract procedure volumes by 22% in the capital.</w:t>
      </w:r>
    </w:p>
    <w:bookmarkEnd w:id="23"/>
    <w:bookmarkStart w:id="24" w:name="X02e5ea398a4729879612c292515db4904be02c5"/>
    <w:p>
      <w:pPr>
        <w:pStyle w:val="Heading2"/>
      </w:pPr>
      <w:r>
        <w:t xml:space="preserve">Market Challenges Specific to Iraq Baghdad</w:t>
      </w:r>
    </w:p>
    <w:p>
      <w:pPr>
        <w:pStyle w:val="FirstParagraph"/>
      </w:pPr>
      <w:r>
        <w:t xml:space="preserve">Despite strong growth, this Sales Report identifies critical challenges unique to operating an ophthalmologist practice in Iraq Baghdad:</w:t>
      </w:r>
    </w:p>
    <w:p>
      <w:pPr>
        <w:numPr>
          <w:ilvl w:val="0"/>
          <w:numId w:val="1002"/>
        </w:numPr>
        <w:pStyle w:val="Compact"/>
      </w:pPr>
      <w:r>
        <w:rPr>
          <w:bCs/>
          <w:b/>
        </w:rPr>
        <w:t xml:space="preserve">Supply Chain Disruptions:</w:t>
      </w:r>
      <w:r>
        <w:t xml:space="preserve"> </w:t>
      </w:r>
      <w:r>
        <w:t xml:space="preserve">65% of imported ophthalmic equipment (e.g., OCT machines) faces customs delays exceeding 45 days, directly impacting service delivery in Baghdad. This bottleneck reduced potential revenue by $18,200 in Q3.</w:t>
      </w:r>
    </w:p>
    <w:p>
      <w:pPr>
        <w:numPr>
          <w:ilvl w:val="0"/>
          <w:numId w:val="1002"/>
        </w:numPr>
        <w:pStyle w:val="Compact"/>
      </w:pPr>
      <w:r>
        <w:rPr>
          <w:bCs/>
          <w:b/>
        </w:rPr>
        <w:t xml:space="preserve">Talent Retention:</w:t>
      </w:r>
      <w:r>
        <w:t xml:space="preserve"> </w:t>
      </w:r>
      <w:r>
        <w:t xml:space="preserve">High attrition rates among qualified ophthalmologists (average 24% annually) threaten consistent service quality across Baghdad clinics.</w:t>
      </w:r>
    </w:p>
    <w:p>
      <w:pPr>
        <w:numPr>
          <w:ilvl w:val="0"/>
          <w:numId w:val="1002"/>
        </w:numPr>
        <w:pStyle w:val="Compact"/>
      </w:pPr>
      <w:r>
        <w:rPr>
          <w:bCs/>
          <w:b/>
        </w:rPr>
        <w:t xml:space="preserve">Payment Infrastructure:</w:t>
      </w:r>
      <w:r>
        <w:t xml:space="preserve"> </w:t>
      </w:r>
      <w:r>
        <w:t xml:space="preserve">Only 58% of Baghdad residents use formal financial systems, complicating payment processing for private ophthalmologist services despite rising demand.</w:t>
      </w:r>
    </w:p>
    <w:bookmarkEnd w:id="24"/>
    <w:bookmarkStart w:id="25" w:name="X937ac273a1e90d523039fb915a57c5f4f16ed94"/>
    <w:p>
      <w:pPr>
        <w:pStyle w:val="Heading2"/>
      </w:pPr>
      <w:r>
        <w:t xml:space="preserve">Future Growth Projections &amp; Strategic Recommendations</w:t>
      </w:r>
    </w:p>
    <w:p>
      <w:pPr>
        <w:pStyle w:val="FirstParagraph"/>
      </w:pPr>
      <w:r>
        <w:t xml:space="preserve">This Sales Report projects that Baghdad's ophthalmology market will reach $1.8 million annually by Q1 2025, driven by the following opportunities:</w:t>
      </w:r>
    </w:p>
    <w:p>
      <w:pPr>
        <w:numPr>
          <w:ilvl w:val="0"/>
          <w:numId w:val="1003"/>
        </w:numPr>
        <w:pStyle w:val="Compact"/>
      </w:pPr>
      <w:r>
        <w:rPr>
          <w:bCs/>
          <w:b/>
        </w:rPr>
        <w:t xml:space="preserve">Localized Training Programs:</w:t>
      </w:r>
      <w:r>
        <w:t xml:space="preserve"> </w:t>
      </w:r>
      <w:r>
        <w:t xml:space="preserve">Establish Baghdad-based ophthalmologist assistant certification courses to address the critical talent gap. Partner with Baghdad Medical College to develop a 6-month training pipeline.</w:t>
      </w:r>
    </w:p>
    <w:p>
      <w:pPr>
        <w:numPr>
          <w:ilvl w:val="0"/>
          <w:numId w:val="1003"/>
        </w:numPr>
        <w:pStyle w:val="Compact"/>
      </w:pPr>
      <w:r>
        <w:rPr>
          <w:bCs/>
          <w:b/>
        </w:rPr>
        <w:t xml:space="preserve">Digital Platform Expansion:</w:t>
      </w:r>
      <w:r>
        <w:t xml:space="preserve"> </w:t>
      </w:r>
      <w:r>
        <w:t xml:space="preserve">Invest in WhatsApp-based appointment systems (used by 89% of Baghdad residents) to streamline ophthalmologist consultations, reducing no-show rates from 28% to under 15%.</w:t>
      </w:r>
    </w:p>
    <w:p>
      <w:pPr>
        <w:numPr>
          <w:ilvl w:val="0"/>
          <w:numId w:val="1003"/>
        </w:numPr>
        <w:pStyle w:val="Compact"/>
      </w:pPr>
      <w:r>
        <w:rPr>
          <w:bCs/>
          <w:b/>
        </w:rPr>
        <w:t xml:space="preserve">Product Diversification:</w:t>
      </w:r>
      <w:r>
        <w:t xml:space="preserve"> </w:t>
      </w:r>
      <w:r>
        <w:t xml:space="preserve">Introduce budget-friendly eyewear bundles (including UV-protective lenses) targeting Baghdad's youth market (ages 15-30), projected to add $75,000+ in Q4 revenue.</w:t>
      </w:r>
    </w:p>
    <w:bookmarkEnd w:id="25"/>
    <w:bookmarkStart w:id="26" w:name="X40e397ab6a54ab62dc98216cce78c97de10a438"/>
    <w:p>
      <w:pPr>
        <w:pStyle w:val="Heading2"/>
      </w:pPr>
      <w:r>
        <w:t xml:space="preserve">Conclusion: The Ophthalmologist as a Strategic Asset in Iraq Baghdad</w:t>
      </w:r>
    </w:p>
    <w:p>
      <w:pPr>
        <w:pStyle w:val="FirstParagraph"/>
      </w:pPr>
      <w:r>
        <w:t xml:space="preserve">The comprehensive Sales Report for Baghdad conclusively demonstrates that the ophthalmologist is no longer merely a specialist service but a fundamental pillar of Iraq's healthcare infrastructure. In Baghdad's context, where eye diseases like diabetic retinopathy and cataracts are primary causes of preventable blindness, the ophthalmologist directly impacts quality-of-life metrics across urban populations. This Q3 Sales Report proves that clinics prioritizing ophthalmologist services in Iraq Baghdad achieve 2.7x higher patient retention rates than general medical facilities.</w:t>
      </w:r>
    </w:p>
    <w:p>
      <w:pPr>
        <w:pStyle w:val="BodyText"/>
      </w:pPr>
      <w:r>
        <w:t xml:space="preserve">As Baghdad modernizes its healthcare network under the National Vision 2030 strategy, the role of the ophthalmologist will evolve from reactive care to preventative health leadership. The current sales momentum—particularly in digital diagnostics and community outreach—positions Baghdad as a potential model for ophthalmology service delivery across Iraq. We recommend immediate action on talent development and technology integration to capitalize on this $150M+ addressable market opportunity in Iraq Baghdad.</w:t>
      </w:r>
    </w:p>
    <w:p>
      <w:pPr>
        <w:pStyle w:val="BodyText"/>
      </w:pPr>
      <w:r>
        <w:rPr>
          <w:bCs/>
          <w:b/>
        </w:rPr>
        <w:t xml:space="preserve">Prepared by:</w:t>
      </w:r>
      <w:r>
        <w:t xml:space="preserve"> </w:t>
      </w:r>
      <w:r>
        <w:t xml:space="preserve">Regional Sales Strategy Division</w:t>
      </w:r>
      <w:r>
        <w:br/>
      </w:r>
      <w:r>
        <w:rPr>
          <w:bCs/>
          <w:b/>
        </w:rPr>
        <w:t xml:space="preserve">Date:</w:t>
      </w:r>
      <w:r>
        <w:t xml:space="preserve"> </w:t>
      </w:r>
      <w:r>
        <w:t xml:space="preserve">October 26, 2023</w:t>
      </w:r>
      <w:r>
        <w:br/>
      </w:r>
      <w:r>
        <w:rPr>
          <w:bCs/>
          <w:b/>
        </w:rPr>
        <w:t xml:space="preserve">Report Reference:</w:t>
      </w:r>
      <w:r>
        <w:t xml:space="preserve"> </w:t>
      </w:r>
      <w:r>
        <w:t xml:space="preserve">OPH-SR-BAGHDAD-Q3-2023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Iraq Baghdad Market Analysis</dc:title>
  <dc:creator/>
  <dc:language>en</dc:language>
  <cp:keywords/>
  <dcterms:created xsi:type="dcterms:W3CDTF">2026-07-21T03:25:32Z</dcterms:created>
  <dcterms:modified xsi:type="dcterms:W3CDTF">2026-07-21T03:25:32Z</dcterms:modified>
</cp:coreProperties>
</file>

<file path=docProps/custom.xml><?xml version="1.0" encoding="utf-8"?>
<Properties xmlns="http://schemas.openxmlformats.org/officeDocument/2006/custom-properties" xmlns:vt="http://schemas.openxmlformats.org/officeDocument/2006/docPropsVTypes"/>
</file>