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p>
    <w:bookmarkStart w:id="26" w:name="X107d1abddfcff6304fe4e966470b870a89791e2"/>
    <w:p>
      <w:pPr>
        <w:pStyle w:val="Heading1"/>
      </w:pPr>
      <w:r>
        <w:t xml:space="preserve">Annual Sales Performance Report: Ophthalmology Practice in Israel Tel Aviv</w:t>
      </w:r>
    </w:p>
    <w:bookmarkStart w:id="20" w:name="introduction"/>
    <w:p>
      <w:pPr>
        <w:pStyle w:val="Heading2"/>
      </w:pPr>
      <w:r>
        <w:t xml:space="preserve">Introduction</w:t>
      </w:r>
    </w:p>
    <w:p>
      <w:pPr>
        <w:pStyle w:val="FirstParagraph"/>
      </w:pPr>
      <w:r>
        <w:t xml:space="preserve">This comprehensive sales report details the operational and financial performance of our leading ophthalmology practice network across Israel Tel Aviv during Q1-Q4 2023. As a premier healthcare provider dedicated to eye care excellence, this document serves as a critical evaluation tool for strategic decision-making. The report specifically examines how our ophthalmologist team has driven revenue growth while navigating Israel's unique healthcare landscape in Tel Aviv, the nation's economic and medical hub. With Tel Aviv home to 40% of Israel's ophthalmology specialists and a rapidly aging population, this region remains central to our national sales strategy. Every metric presented reflects the direct impact of our ophthalmologist expertise on patient acquisition, service adoption, and sustainable revenue streams.</w:t>
      </w:r>
    </w:p>
    <w:bookmarkEnd w:id="20"/>
    <w:bookmarkStart w:id="21" w:name="sales-performance-overview"/>
    <w:p>
      <w:pPr>
        <w:pStyle w:val="Heading2"/>
      </w:pPr>
      <w:r>
        <w:t xml:space="preserve">Sales Performance Overview</w:t>
      </w:r>
    </w:p>
    <w:p>
      <w:pPr>
        <w:pStyle w:val="FirstParagraph"/>
      </w:pPr>
      <w:r>
        <w:t xml:space="preserve">Our Tel Aviv-based ophthalmology practice achieved a 17.8% year-over-year sales increase in 2023, generating total revenue of ₪14.6 million (approx. $3.8M USD). This growth significantly outpaces the Israeli healthcare sector average of 5.3%, directly attributable to our specialized ophthalmologist-led approach in Tel Aviv's competitive market. Key drivers include a 22% surge in laser vision correction procedures and a 15% rise in cataract surgery volumes, fueled by strategic partnerships with major Tel Aviv employers like Intel and Microsoft for employee health programs. Notably, our ophthalmologist retention rate of 98% contributed to consistent high-quality patient care – a critical factor in Tel Aviv's value-based healthcare environment where repeat visits drive 68% of revenue. This sales report confirms that physician expertise directly correlates with premium service uptake in Israel Tel Aviv's discerning market.</w:t>
      </w:r>
    </w:p>
    <w:bookmarkEnd w:id="21"/>
    <w:bookmarkStart w:id="22" w:name="X84b92a8710a8acf26028f543b6072e648576341"/>
    <w:p>
      <w:pPr>
        <w:pStyle w:val="Heading2"/>
      </w:pPr>
      <w:r>
        <w:t xml:space="preserve">Service Line Analysis by Ophthalmologist Specialization</w:t>
      </w:r>
    </w:p>
    <w:p>
      <w:pPr>
        <w:pStyle w:val="FirstParagraph"/>
      </w:pPr>
      <w:r>
        <w:t xml:space="preserve">Breakdown by ophthalmologist subspecialty reveals strategic strengths:</w:t>
      </w:r>
    </w:p>
    <w:p>
      <w:pPr>
        <w:numPr>
          <w:ilvl w:val="0"/>
          <w:numId w:val="1001"/>
        </w:numPr>
        <w:pStyle w:val="Compact"/>
      </w:pPr>
      <w:r>
        <w:rPr>
          <w:bCs/>
          <w:b/>
        </w:rPr>
        <w:t xml:space="preserve">Laser Vision Correction (PRK/LASIK):</w:t>
      </w:r>
      <w:r>
        <w:t xml:space="preserve"> </w:t>
      </w:r>
      <w:r>
        <w:t xml:space="preserve">34% of total revenue (up 28% YoY). Tel Aviv's young professional demographic drove demand, with our refractive ophthalmologist team performing 1,850 procedures – the highest volume in Israel. Sales growth was accelerated by our "Vision Care Passport" package, which increased patient lifetime value by 40%.</w:t>
      </w:r>
    </w:p>
    <w:p>
      <w:pPr>
        <w:numPr>
          <w:ilvl w:val="0"/>
          <w:numId w:val="1001"/>
        </w:numPr>
        <w:pStyle w:val="Compact"/>
      </w:pPr>
      <w:r>
        <w:rPr>
          <w:bCs/>
          <w:b/>
        </w:rPr>
        <w:t xml:space="preserve">Cataract Surgery:</w:t>
      </w:r>
      <w:r>
        <w:t xml:space="preserve"> </w:t>
      </w:r>
      <w:r>
        <w:t xml:space="preserve">32% revenue share (up 14%). Our ophthalmologist-led surgical center achieved a 96% patient satisfaction rate, exceeding the Israeli national average by 19 points. Strategic contracts with Tel Aviv's public health funds secured consistent referral volumes.</w:t>
      </w:r>
    </w:p>
    <w:p>
      <w:pPr>
        <w:numPr>
          <w:ilvl w:val="0"/>
          <w:numId w:val="1001"/>
        </w:numPr>
        <w:pStyle w:val="Compact"/>
      </w:pPr>
      <w:r>
        <w:rPr>
          <w:bCs/>
          <w:b/>
        </w:rPr>
        <w:t xml:space="preserve">Diagnostics &amp; Retinal Care:</w:t>
      </w:r>
      <w:r>
        <w:t xml:space="preserve"> </w:t>
      </w:r>
      <w:r>
        <w:t xml:space="preserve">25% revenue (up 21%). Utilizing cutting-edge OCT technology, our retinal ophthalmologist specialists captured a 37% market share in Tel Aviv for AMD treatment, directly linking diagnostic precision to high-margin service adoption.</w:t>
      </w:r>
    </w:p>
    <w:p>
      <w:pPr>
        <w:numPr>
          <w:ilvl w:val="0"/>
          <w:numId w:val="1001"/>
        </w:numPr>
        <w:pStyle w:val="Compact"/>
      </w:pPr>
      <w:r>
        <w:rPr>
          <w:bCs/>
          <w:b/>
        </w:rPr>
        <w:t xml:space="preserve">Pediatric Ophthalmology:</w:t>
      </w:r>
      <w:r>
        <w:t xml:space="preserve"> </w:t>
      </w:r>
      <w:r>
        <w:t xml:space="preserve">9% revenue (up 31%). Our specialized team developed school-based screening programs across Tel Aviv, generating recurring revenue from municipal health contracts while building long-term patient pipelines.</w:t>
      </w:r>
    </w:p>
    <w:bookmarkEnd w:id="22"/>
    <w:bookmarkStart w:id="23" w:name="market-dynamics-in-israel-tel-aviv"/>
    <w:p>
      <w:pPr>
        <w:pStyle w:val="Heading2"/>
      </w:pPr>
      <w:r>
        <w:t xml:space="preserve">Market Dynamics in Israel Tel Aviv</w:t>
      </w:r>
    </w:p>
    <w:p>
      <w:pPr>
        <w:pStyle w:val="FirstParagraph"/>
      </w:pPr>
      <w:r>
        <w:t xml:space="preserve">The Israeli healthcare market in Tel Aviv presents unique opportunities and challenges. With 35% of all ophthalmologists concentrated in this metropolitan area, competition is intense but also fertile for innovation. This sales report identifies three critical trends: (1) Rising demand for non-invasive treatments (+42% YoY) as Tel Aviv's population ages; (2) Surge in employer-sponsored eye care programs – our partnership with 37 Tel Aviv tech firms added ₪2.1M in recurring revenue; (3) Regulatory shifts requiring enhanced digital documentation, which our ophthalmologist team rapidly implemented via our new EHR system. Critically, patient acquisition costs in Tel Aviv are 23% lower than national average due to strong physician reputation – a direct result of consistent ophthalmologist engagement with community health initiatives.</w:t>
      </w:r>
    </w:p>
    <w:bookmarkEnd w:id="23"/>
    <w:bookmarkStart w:id="24" w:name="challenges-and-strategic-opportunities"/>
    <w:p>
      <w:pPr>
        <w:pStyle w:val="Heading2"/>
      </w:pPr>
      <w:r>
        <w:t xml:space="preserve">Challenges and Strategic Opportunities</w:t>
      </w:r>
    </w:p>
    <w:p>
      <w:pPr>
        <w:pStyle w:val="FirstParagraph"/>
      </w:pPr>
      <w:r>
        <w:t xml:space="preserve">While performance was strong, this sales report highlights key challenges requiring immediate action. The primary obstacle is Tel Aviv's high operational costs (14% above national average), impacting profit margins for our ophthalmologist practice. Additionally, competition from new clinics has intensified demand for premium service differentiation – an area where our specialized ophthalmologists currently hold a 32% market advantage in advanced procedures.</w:t>
      </w:r>
    </w:p>
    <w:p>
      <w:pPr>
        <w:pStyle w:val="BodyText"/>
      </w:pPr>
      <w:r>
        <w:t xml:space="preserve">Strategic opportunities emerging include:</w:t>
      </w:r>
    </w:p>
    <w:p>
      <w:pPr>
        <w:numPr>
          <w:ilvl w:val="0"/>
          <w:numId w:val="1002"/>
        </w:numPr>
        <w:pStyle w:val="Compact"/>
      </w:pPr>
      <w:r>
        <w:rPr>
          <w:bCs/>
          <w:b/>
        </w:rPr>
        <w:t xml:space="preserve">AI-Powered Diagnostics:</w:t>
      </w:r>
      <w:r>
        <w:t xml:space="preserve"> </w:t>
      </w:r>
      <w:r>
        <w:t xml:space="preserve">Implementing AI tools for early glaucoma detection, projected to boost revenue from diagnostic services by 35% within 18 months.</w:t>
      </w:r>
    </w:p>
    <w:p>
      <w:pPr>
        <w:numPr>
          <w:ilvl w:val="0"/>
          <w:numId w:val="1002"/>
        </w:numPr>
        <w:pStyle w:val="Compact"/>
      </w:pPr>
      <w:r>
        <w:rPr>
          <w:bCs/>
          <w:b/>
        </w:rPr>
        <w:t xml:space="preserve">Tel Aviv Wellness Partnerships:</w:t>
      </w:r>
      <w:r>
        <w:t xml:space="preserve"> </w:t>
      </w:r>
      <w:r>
        <w:t xml:space="preserve">Expanding collaborations with luxury fitness centers (e.g., The Ritz-Carlton Tel Aviv) for premium vision packages targeting affluent residents.</w:t>
      </w:r>
    </w:p>
    <w:p>
      <w:pPr>
        <w:numPr>
          <w:ilvl w:val="0"/>
          <w:numId w:val="1002"/>
        </w:numPr>
        <w:pStyle w:val="Compact"/>
      </w:pPr>
      <w:r>
        <w:rPr>
          <w:bCs/>
          <w:b/>
        </w:rPr>
        <w:t xml:space="preserve">Ophthalmologist-Exclusive Health Plans:</w:t>
      </w:r>
      <w:r>
        <w:t xml:space="preserve"> </w:t>
      </w:r>
      <w:r>
        <w:t xml:space="preserve">Developing tailored insurance partnerships leveraging our Tel Aviv practice's 98% specialist retention rate to secure higher reimbursement rates.</w:t>
      </w:r>
    </w:p>
    <w:bookmarkEnd w:id="24"/>
    <w:bookmarkStart w:id="25" w:name="conclusion-and-future-outlook"/>
    <w:p>
      <w:pPr>
        <w:pStyle w:val="Heading2"/>
      </w:pPr>
      <w:r>
        <w:t xml:space="preserve">Conclusion and Future Outlook</w:t>
      </w:r>
    </w:p>
    <w:p>
      <w:pPr>
        <w:pStyle w:val="FirstParagraph"/>
      </w:pPr>
      <w:r>
        <w:t xml:space="preserve">This year's sales report unequivocally demonstrates that specialized ophthalmologist expertise is the cornerstone of success in Israel Tel Aviv's competitive eye care market. Our 17.8% revenue growth proves that physician-led excellence directly translates to commercial performance, with patient satisfaction metrics driving sustainable growth in a region where trust is paramount. Looking ahead, we project 20% revenue expansion for 2024 through AI adoption and strategic Tel Aviv partnerships – all underpinned by our ophthalmologist team's clinical leadership.</w:t>
      </w:r>
    </w:p>
    <w:p>
      <w:pPr>
        <w:pStyle w:val="BodyText"/>
      </w:pPr>
      <w:r>
        <w:t xml:space="preserve">As the premier provider of ophthalmology services in Israel Tel Aviv, this sales report confirms that continuous investment in physician talent and technology will maintain our market leadership. The data is clear: when highly skilled ophthalmologists drive patient experience, they simultaneously elevate sales performance – a formula we've perfected across Tel Aviv's dynamic healthcare ecosystem. We recommend doubling down on ophthalmologist development programs and expanding our premium service portfolio to capture 50% of Tel Aviv's high-value eye care market by Q4 2025.</w:t>
      </w:r>
    </w:p>
    <w:p>
      <w:pPr>
        <w:pStyle w:val="BodyText"/>
      </w:pPr>
      <w:r>
        <w:rPr>
          <w:bCs/>
          <w:b/>
        </w:rPr>
        <w:t xml:space="preserve">Prepared by:</w:t>
      </w:r>
      <w:r>
        <w:t xml:space="preserve"> </w:t>
      </w:r>
      <w:r>
        <w:t xml:space="preserve">National Ophthalmology Sales Intelligence Team</w:t>
      </w:r>
      <w:r>
        <w:br/>
      </w:r>
      <w:r>
        <w:rPr>
          <w:bCs/>
          <w:b/>
        </w:rPr>
        <w:t xml:space="preserve">Date:</w:t>
      </w:r>
      <w:r>
        <w:t xml:space="preserve"> </w:t>
      </w:r>
      <w:r>
        <w:t xml:space="preserve">October 26, 2023</w:t>
      </w:r>
      <w:r>
        <w:br/>
      </w:r>
      <w:r>
        <w:rPr>
          <w:bCs/>
          <w:b/>
        </w:rPr>
        <w:t xml:space="preserve">For Use in Israel Tel Aviv Healthcare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Israel Tel Aviv</dc:title>
  <dc:creator/>
  <dc:language>en</dc:language>
  <cp:keywords/>
  <dcterms:created xsi:type="dcterms:W3CDTF">2026-07-23T14:50:54Z</dcterms:created>
  <dcterms:modified xsi:type="dcterms:W3CDTF">2026-07-23T14:50:54Z</dcterms:modified>
</cp:coreProperties>
</file>

<file path=docProps/custom.xml><?xml version="1.0" encoding="utf-8"?>
<Properties xmlns="http://schemas.openxmlformats.org/officeDocument/2006/custom-properties" xmlns:vt="http://schemas.openxmlformats.org/officeDocument/2006/docPropsVTypes"/>
</file>