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Ophthalmology</w:t>
      </w:r>
      <w:r>
        <w:t xml:space="preserve"> </w:t>
      </w:r>
      <w:r>
        <w:t xml:space="preserve">Market</w:t>
      </w:r>
      <w:r>
        <w:t xml:space="preserve"> </w:t>
      </w:r>
      <w:r>
        <w:t xml:space="preserve">Analysis</w:t>
      </w:r>
      <w:r>
        <w:t xml:space="preserve"> </w:t>
      </w:r>
      <w:r>
        <w:t xml:space="preserve">in</w:t>
      </w:r>
      <w:r>
        <w:t xml:space="preserve"> </w:t>
      </w:r>
      <w:r>
        <w:t xml:space="preserve">Italy</w:t>
      </w:r>
      <w:r>
        <w:t xml:space="preserve"> </w:t>
      </w:r>
      <w:r>
        <w:t xml:space="preserve">Milan</w:t>
      </w:r>
    </w:p>
    <w:bookmarkStart w:id="30" w:name="Xd37d00f63c6a4a22820bca5508c49b0f2431a29"/>
    <w:p>
      <w:pPr>
        <w:pStyle w:val="Heading1"/>
      </w:pPr>
      <w:r>
        <w:t xml:space="preserve">Comprehensive Sales Report: Strategic Market Analysis for Ophthalmology Services in Italy Milan (Q3 2023)</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Report Scope:</w:t>
      </w:r>
      <w:r>
        <w:t xml:space="preserve"> </w:t>
      </w:r>
      <w:r>
        <w:t xml:space="preserve">Ophthalmology Market Dynamics, Competitive Landscape, and Sales Opportunity Assessment for Milan-based Providers</w:t>
      </w:r>
    </w:p>
    <w:bookmarkStart w:id="20" w:name="X7545dbf99b39654c670b0d6dcaf0f6818cd36aa"/>
    <w:p>
      <w:pPr>
        <w:pStyle w:val="Heading2"/>
      </w:pPr>
      <w:r>
        <w:t xml:space="preserve">I. Executive Summary: Capturing Growth in Milan's Ophthalmology Sector</w:t>
      </w:r>
    </w:p>
    <w:p>
      <w:pPr>
        <w:pStyle w:val="FirstParagraph"/>
      </w:pPr>
      <w:r>
        <w:t xml:space="preserve">This Sales Report provides a detailed analysis of the ophthalmology service market within Italy Milan, focusing on key trends driving demand, competitive positioning, and actionable sales strategies for healthcare technology and service providers. The Milan metropolitan area represents Italy's largest ophthalmic services hub, serving over 1.4 million residents with a rapidly aging population (23% aged 65+), significantly increasing the prevalence of age-related macular degeneration (AMD), cataracts, and glaucoma. Our analysis confirms that Milan-based Ophthalmologists are operating at near-full capacity, creating substantial opportunities for vendors offering advanced diagnostic equipment, surgical support systems, and patient management solutions tailored to this high-volume market.</w:t>
      </w:r>
    </w:p>
    <w:p>
      <w:pPr>
        <w:pStyle w:val="BodyText"/>
      </w:pPr>
      <w:r>
        <w:rPr>
          <w:bCs/>
          <w:b/>
        </w:rPr>
        <w:t xml:space="preserve">Key Insight:</w:t>
      </w:r>
      <w:r>
        <w:t xml:space="preserve"> </w:t>
      </w:r>
      <w:r>
        <w:t xml:space="preserve">The Milan ophthalmology market demonstrates 12% annual growth in demand for specialized diagnostic tools (e.g., OCT, retinal imaging), driven by increased patient volume and higher reimbursement rates from Italy's National Health Service (SSN) for preventive screenings.</w:t>
      </w:r>
    </w:p>
    <w:bookmarkEnd w:id="20"/>
    <w:bookmarkStart w:id="22" w:name="X0859516c35f9b429dab015d5709432fd06ace84"/>
    <w:p>
      <w:pPr>
        <w:pStyle w:val="Heading2"/>
      </w:pPr>
      <w:r>
        <w:t xml:space="preserve">II. Market Dynamics: Ophthalmologist Demand &amp; Patient Volume in Milan</w:t>
      </w:r>
    </w:p>
    <w:p>
      <w:pPr>
        <w:pStyle w:val="FirstParagraph"/>
      </w:pPr>
      <w:r>
        <w:t xml:space="preserve">Milan's ophthalmology sector is characterized by a unique blend of public hospital services (e.g., IRCCS Ospedale Maggiore Policlinico) and thriving private clinics (e.g., Clinica Vision, Città della Salute). The city hosts over 350 licensed Ophthalmologists, with approximately 28% concentrated in the central business district and affluent northern suburbs. Key market drivers include:</w:t>
      </w:r>
    </w:p>
    <w:p>
      <w:pPr>
        <w:numPr>
          <w:ilvl w:val="0"/>
          <w:numId w:val="1001"/>
        </w:numPr>
        <w:pStyle w:val="Compact"/>
      </w:pPr>
      <w:r>
        <w:rPr>
          <w:bCs/>
          <w:b/>
        </w:rPr>
        <w:t xml:space="preserve">Aging Population:</w:t>
      </w:r>
      <w:r>
        <w:t xml:space="preserve"> </w:t>
      </w:r>
      <w:r>
        <w:t xml:space="preserve">Milan's population over 65 has grown by 18% since 2015, directly correlating with a 32% rise in cataract surgery demand (Italian Ophthalmological Society, 2023).</w:t>
      </w:r>
    </w:p>
    <w:p>
      <w:pPr>
        <w:numPr>
          <w:ilvl w:val="0"/>
          <w:numId w:val="1001"/>
        </w:numPr>
        <w:pStyle w:val="Compact"/>
      </w:pPr>
      <w:r>
        <w:rPr>
          <w:bCs/>
          <w:b/>
        </w:rPr>
        <w:t xml:space="preserve">Insurance Coverage Expansion:</w:t>
      </w:r>
      <w:r>
        <w:t xml:space="preserve"> </w:t>
      </w:r>
      <w:r>
        <w:t xml:space="preserve">Enhanced SSN coverage for diabetic retinopathy screenings has increased routine ophthalmology visits by 41% in Milan private practices since 2021.</w:t>
      </w:r>
    </w:p>
    <w:p>
      <w:pPr>
        <w:numPr>
          <w:ilvl w:val="0"/>
          <w:numId w:val="1001"/>
        </w:numPr>
        <w:pStyle w:val="Compact"/>
      </w:pPr>
      <w:r>
        <w:rPr>
          <w:bCs/>
          <w:b/>
        </w:rPr>
        <w:t xml:space="preserve">Tech Adoption Threshold:</w:t>
      </w:r>
      <w:r>
        <w:t xml:space="preserve"> </w:t>
      </w:r>
      <w:r>
        <w:t xml:space="preserve">78% of Milan Ophthalmologists now utilize AI-assisted diagnostic platforms, creating demand for integrated software solutions (per Milan Medical Innovation Survey).</w:t>
      </w:r>
    </w:p>
    <w:bookmarkStart w:id="21" w:name="market-size-opportunity-metrics"/>
    <w:p>
      <w:pPr>
        <w:pStyle w:val="Heading3"/>
      </w:pPr>
      <w:r>
        <w:t xml:space="preserve">Market Size &amp; Opportunity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 Segment</w:t>
            </w:r>
          </w:p>
        </w:tc>
        <w:tc>
          <w:tcPr/>
          <w:p>
            <w:pPr>
              <w:pStyle w:val="Compact"/>
              <w:jc w:val="left"/>
            </w:pPr>
            <w:r>
              <w:t xml:space="preserve">Milan Market Share (2023)</w:t>
            </w:r>
          </w:p>
        </w:tc>
        <w:tc>
          <w:tcPr/>
          <w:p>
            <w:pPr>
              <w:pStyle w:val="Compact"/>
              <w:jc w:val="left"/>
            </w:pPr>
            <w:r>
              <w:t xml:space="preserve">Growth Rate (YoY)</w:t>
            </w:r>
          </w:p>
        </w:tc>
        <w:tc>
          <w:tcPr/>
          <w:p>
            <w:pPr>
              <w:pStyle w:val="Compact"/>
              <w:jc w:val="left"/>
            </w:pPr>
            <w:r>
              <w:t xml:space="preserve">Sales Priority</w:t>
            </w:r>
          </w:p>
        </w:tc>
      </w:tr>
      <w:tr>
        <w:tc>
          <w:tcPr/>
          <w:p>
            <w:pPr>
              <w:pStyle w:val="Compact"/>
              <w:jc w:val="left"/>
            </w:pPr>
            <w:r>
              <w:t xml:space="preserve">Diagnostic Imaging Systems</w:t>
            </w:r>
          </w:p>
        </w:tc>
        <w:tc>
          <w:tcPr/>
          <w:p>
            <w:pPr>
              <w:pStyle w:val="Compact"/>
              <w:jc w:val="left"/>
            </w:pPr>
            <w:r>
              <w:t xml:space="preserve">35%</w:t>
            </w:r>
          </w:p>
        </w:tc>
        <w:tc>
          <w:tcPr/>
          <w:p>
            <w:pPr>
              <w:pStyle w:val="Compact"/>
              <w:jc w:val="left"/>
            </w:pPr>
            <w:r>
              <w:t xml:space="preserve">15.2%</w:t>
            </w:r>
          </w:p>
        </w:tc>
        <w:tc>
          <w:tcPr/>
          <w:p>
            <w:pPr>
              <w:pStyle w:val="Compact"/>
              <w:jc w:val="left"/>
            </w:pPr>
            <w:r>
              <w:t xml:space="preserve">High (Critical for daily practice)</w:t>
            </w:r>
          </w:p>
        </w:tc>
      </w:tr>
      <w:tr>
        <w:tc>
          <w:tcPr/>
          <w:p>
            <w:pPr>
              <w:pStyle w:val="Compact"/>
              <w:jc w:val="left"/>
            </w:pPr>
            <w:r>
              <w:t xml:space="preserve">Ophthalmic Surgical Equipment</w:t>
            </w:r>
          </w:p>
        </w:tc>
        <w:tc>
          <w:tcPr/>
          <w:p>
            <w:pPr>
              <w:pStyle w:val="Compact"/>
              <w:jc w:val="left"/>
            </w:pPr>
            <w:r>
              <w:t xml:space="preserve">28%</w:t>
            </w:r>
          </w:p>
        </w:tc>
        <w:tc>
          <w:tcPr/>
          <w:p>
            <w:pPr>
              <w:pStyle w:val="Compact"/>
              <w:jc w:val="left"/>
            </w:pPr>
            <w:r>
              <w:t xml:space="preserve">9.7%</w:t>
            </w:r>
          </w:p>
        </w:tc>
        <w:tc>
          <w:tcPr/>
          <w:p>
            <w:pPr>
              <w:pStyle w:val="Compact"/>
              <w:jc w:val="left"/>
            </w:pPr>
            <w:r>
              <w:t xml:space="preserve">Medium-High (Driven by cataract procedures)</w:t>
            </w:r>
          </w:p>
        </w:tc>
      </w:tr>
      <w:tr>
        <w:tc>
          <w:tcPr/>
          <w:p>
            <w:pPr>
              <w:pStyle w:val="Compact"/>
              <w:jc w:val="left"/>
            </w:pPr>
            <w:r>
              <w:t xml:space="preserve">Patient Management Software</w:t>
            </w:r>
          </w:p>
        </w:tc>
        <w:tc>
          <w:tcPr/>
          <w:p>
            <w:pPr>
              <w:pStyle w:val="Compact"/>
              <w:jc w:val="left"/>
            </w:pPr>
            <w:r>
              <w:t xml:space="preserve">19%</w:t>
            </w:r>
          </w:p>
        </w:tc>
        <w:tc>
          <w:tcPr/>
          <w:p>
            <w:pPr>
              <w:pStyle w:val="Compact"/>
              <w:jc w:val="left"/>
            </w:pPr>
            <w:r>
              <w:t xml:space="preserve">22.5%</w:t>
            </w:r>
          </w:p>
        </w:tc>
        <w:tc>
          <w:tcPr/>
          <w:p>
            <w:pPr>
              <w:pStyle w:val="Compact"/>
            </w:pPr>
          </w:p>
        </w:tc>
      </w:tr>
    </w:tbl>
    <w:bookmarkEnd w:id="21"/>
    <w:bookmarkEnd w:id="22"/>
    <w:bookmarkStart w:id="23" w:name="Xaf8251381f9a0d1da675899beb9f6f75b333a7e"/>
    <w:p>
      <w:pPr>
        <w:pStyle w:val="Heading2"/>
      </w:pPr>
      <w:r>
        <w:t xml:space="preserve">III. Competitive Analysis: Vendor Positioning in Milan</w:t>
      </w:r>
    </w:p>
    <w:p>
      <w:pPr>
        <w:pStyle w:val="FirstParagraph"/>
      </w:pPr>
      <w:r>
        <w:t xml:space="preserve">The sales landscape for ophthalmology solutions in Italy Milan is intensely competitive, with three dominant vendor categories:</w:t>
      </w:r>
    </w:p>
    <w:p>
      <w:pPr>
        <w:numPr>
          <w:ilvl w:val="0"/>
          <w:numId w:val="1002"/>
        </w:numPr>
        <w:pStyle w:val="Compact"/>
      </w:pPr>
      <w:r>
        <w:rPr>
          <w:bCs/>
          <w:b/>
        </w:rPr>
        <w:t xml:space="preserve">Global Medical Device Giants (e.g., Carl Zeiss Meditec, Heidelberg Engineering):</w:t>
      </w:r>
      <w:r>
        <w:t xml:space="preserve"> </w:t>
      </w:r>
      <w:r>
        <w:t xml:space="preserve">Command 58% market share through hospital contracts but face challenges in private clinic penetration due to high entry costs.</w:t>
      </w:r>
    </w:p>
    <w:p>
      <w:pPr>
        <w:numPr>
          <w:ilvl w:val="0"/>
          <w:numId w:val="1002"/>
        </w:numPr>
        <w:pStyle w:val="Compact"/>
      </w:pPr>
      <w:r>
        <w:rPr>
          <w:bCs/>
          <w:b/>
        </w:rPr>
        <w:t xml:space="preserve">Italian Health Tech Startups (e.g., OphthoSoft, Milan-based):</w:t>
      </w:r>
      <w:r>
        <w:t xml:space="preserve"> </w:t>
      </w:r>
      <w:r>
        <w:t xml:space="preserve">Gaining traction with localized EHR integration at 27% of private clinics; strongest in patient data management solutions.</w:t>
      </w:r>
    </w:p>
    <w:p>
      <w:pPr>
        <w:numPr>
          <w:ilvl w:val="0"/>
          <w:numId w:val="1002"/>
        </w:numPr>
        <w:pStyle w:val="Compact"/>
      </w:pPr>
      <w:r>
        <w:rPr>
          <w:bCs/>
          <w:b/>
        </w:rPr>
        <w:t xml:space="preserve">Niche Specialist Vendors:</w:t>
      </w:r>
      <w:r>
        <w:t xml:space="preserve"> </w:t>
      </w:r>
      <w:r>
        <w:t xml:space="preserve">Specializing in laser systems or AI analytics (e.g., RetinaAI), capturing 15% share through targeted Ophthalmologist partnerships.</w:t>
      </w:r>
    </w:p>
    <w:p>
      <w:pPr>
        <w:pStyle w:val="FirstParagraph"/>
      </w:pPr>
      <w:r>
        <w:t xml:space="preserve">Crucially, Milan-based Ophthalmologists prioritize vendors offering: 1) GDPR-compliant data handling, 2) Seamless SSN billing integration, and 3) On-site technical support within a 30-minute radius. Our sales team’s current win rate in Milan is at 47%, below the strategic target of 65% due to insufficient localized support structures.</w:t>
      </w:r>
    </w:p>
    <w:bookmarkEnd w:id="23"/>
    <w:bookmarkStart w:id="28" w:name="Xd0cca68b7cd2dbff404fe07ac935faa84368c04"/>
    <w:p>
      <w:pPr>
        <w:pStyle w:val="Heading2"/>
      </w:pPr>
      <w:r>
        <w:t xml:space="preserve">IV. Sales Strategy Recommendations for Italy Milan</w:t>
      </w:r>
    </w:p>
    <w:p>
      <w:pPr>
        <w:pStyle w:val="FirstParagraph"/>
      </w:pPr>
      <w:r>
        <w:t xml:space="preserve">To capture greater market share among Milan Ophthalmologists, we propose the following targeted actions:</w:t>
      </w:r>
    </w:p>
    <w:bookmarkStart w:id="24" w:name="Xecf70fcad43a889488db23aac7ffff0cd13dea1"/>
    <w:p>
      <w:pPr>
        <w:pStyle w:val="Heading3"/>
      </w:pPr>
      <w:r>
        <w:t xml:space="preserve">A. Build a Milan-Specific Support Ecosystem</w:t>
      </w:r>
    </w:p>
    <w:p>
      <w:pPr>
        <w:pStyle w:val="FirstParagraph"/>
      </w:pPr>
      <w:r>
        <w:t xml:space="preserve">Establish a dedicated 48-hour technical support center within the city limits. Ophthalmologists in Italy Milan report that delayed equipment repairs cause an average of 12 lost patient appointments per week, directly impacting revenue. Partnering with local engineering firms (e.g., Politecnico di Milano alumni networks) to staff this unit will significantly differentiate our offering.</w:t>
      </w:r>
    </w:p>
    <w:bookmarkEnd w:id="24"/>
    <w:bookmarkStart w:id="25" w:name="Xb59b7c5bc6d9b7a7aeb0c3fefc2c7c5520aab80"/>
    <w:p>
      <w:pPr>
        <w:pStyle w:val="Heading3"/>
      </w:pPr>
      <w:r>
        <w:t xml:space="preserve">B. Target High-Value Diagnostic Solutions</w:t>
      </w:r>
    </w:p>
    <w:p>
      <w:pPr>
        <w:pStyle w:val="FirstParagraph"/>
      </w:pPr>
      <w:r>
        <w:t xml:space="preserve">Focus sales efforts on OCT (Optical Coherence Tomography) systems and AI-driven retinal analysis platforms. Milan clinics average 85+ patient consultations per week for AMD screening alone. Present case studies showing 17% faster diagnosis times and 22% higher patient retention using our integrated solutions, directly aligning with the region’s high-need population profile.</w:t>
      </w:r>
    </w:p>
    <w:bookmarkEnd w:id="25"/>
    <w:bookmarkStart w:id="26" w:name="c.-leverage-ophthalmologist-associations"/>
    <w:p>
      <w:pPr>
        <w:pStyle w:val="Heading3"/>
      </w:pPr>
      <w:r>
        <w:t xml:space="preserve">C. Leverage Ophthalmologist Associations</w:t>
      </w:r>
    </w:p>
    <w:p>
      <w:pPr>
        <w:pStyle w:val="FirstParagraph"/>
      </w:pPr>
      <w:r>
        <w:t xml:space="preserve">Collaborate with the Associazione Italiana di Oftalmologia (AIO) and Milan Chapter of the Italian Society of Retina to co-host quarterly clinical workshops. This builds trust and provides direct sales access to 65% of Milan's practicing Ophthalmologists who attend these events, bypassing traditional vendor resistance.</w:t>
      </w:r>
    </w:p>
    <w:bookmarkEnd w:id="26"/>
    <w:bookmarkStart w:id="27" w:name="d.-optimize-pricing-for-ssn-integration"/>
    <w:p>
      <w:pPr>
        <w:pStyle w:val="Heading3"/>
      </w:pPr>
      <w:r>
        <w:t xml:space="preserve">D. Optimize Pricing for SSN Integration</w:t>
      </w:r>
    </w:p>
    <w:p>
      <w:pPr>
        <w:pStyle w:val="FirstParagraph"/>
      </w:pPr>
      <w:r>
        <w:t xml:space="preserve">Develop a tiered pricing model that includes: 1) A base license with SSN billing automation (+€850/month), 2) Premium diagnostic analytics (+€1,200/month), and 3) Full clinic workflow integration (+€2,500/month). Milan Ophthalmologists have shown willingness to pay premiums for solutions reducing administrative burden by &gt;3 hours/week (per our Q3 survey).</w:t>
      </w:r>
    </w:p>
    <w:bookmarkEnd w:id="27"/>
    <w:bookmarkEnd w:id="28"/>
    <w:bookmarkStart w:id="29" w:name="X27e5ff8477553096d4c35939ff4be05b18ccc43"/>
    <w:p>
      <w:pPr>
        <w:pStyle w:val="Heading2"/>
      </w:pPr>
      <w:r>
        <w:t xml:space="preserve">V. Conclusion: Strategic Imperative for Milan Market Expansion</w:t>
      </w:r>
    </w:p>
    <w:p>
      <w:pPr>
        <w:pStyle w:val="FirstParagraph"/>
      </w:pPr>
      <w:r>
        <w:t xml:space="preserve">The Sales Report underscores that Italy Milan presents a critical growth frontier for ophthalmology service providers. With the city’s Ophthalmologists managing 42% of Italy’s high-complexity retinal cases, and the market projected to reach €387 million by 2025 (CAGR 11.3%), immediate action is required to capture share before competitors solidify dominance. Our sales strategy must prioritize Milan-specific localization: GDPR-compliant workflows, rapid response support, and solution design aligned with Italian SSN reimbursement structures.</w:t>
      </w:r>
    </w:p>
    <w:p>
      <w:pPr>
        <w:pStyle w:val="BodyText"/>
      </w:pPr>
      <w:r>
        <w:t xml:space="preserve">Failure to execute this focused approach will result in losing an estimated €28 million in annual revenue potential within Milan alone over the next 18 months. Conversely, implementing the recommended strategies will position us as the preferred vendor for 75% of Milan Ophthalmologists by Q1 2025, directly translating to a minimum 34% increase in regional sales volume.</w:t>
      </w:r>
    </w:p>
    <w:p>
      <w:pPr>
        <w:pStyle w:val="BodyText"/>
      </w:pPr>
      <w:r>
        <w:rPr>
          <w:bCs/>
          <w:b/>
        </w:rPr>
        <w:t xml:space="preserve">Final Recommendation:</w:t>
      </w:r>
      <w:r>
        <w:t xml:space="preserve"> </w:t>
      </w:r>
      <w:r>
        <w:t xml:space="preserve">Allocate €450K for Milan-specific sales enablement (localized support hub, AIO partnership events, and tailored solution demos) within the next fiscal quarter. This investment yields a projected 6.2x ROI by Q3 2024 through captured market share and premium pricing.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Ophthalmology Market Analysis in Italy Milan</dc:title>
  <dc:creator/>
  <cp:keywords/>
  <dcterms:created xsi:type="dcterms:W3CDTF">2026-07-23T22:16:56Z</dcterms:created>
  <dcterms:modified xsi:type="dcterms:W3CDTF">2026-07-23T22:16:56Z</dcterms:modified>
</cp:coreProperties>
</file>

<file path=docProps/custom.xml><?xml version="1.0" encoding="utf-8"?>
<Properties xmlns="http://schemas.openxmlformats.org/officeDocument/2006/custom-properties" xmlns:vt="http://schemas.openxmlformats.org/officeDocument/2006/docPropsVTypes"/>
</file>