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Italy</w:t>
      </w:r>
      <w:r>
        <w:t xml:space="preserve"> </w:t>
      </w:r>
      <w:r>
        <w:t xml:space="preserve">Rome</w:t>
      </w:r>
      <w:r>
        <w:t xml:space="preserve"> </w:t>
      </w:r>
      <w:r>
        <w:t xml:space="preserve">Market</w:t>
      </w:r>
      <w:r>
        <w:t xml:space="preserve"> </w:t>
      </w:r>
      <w:r>
        <w:t xml:space="preserve">Analysis</w:t>
      </w:r>
    </w:p>
    <w:bookmarkStart w:id="27" w:name="X45cbf86d5cfcb33db761badd37386f8a04d2b47"/>
    <w:p>
      <w:pPr>
        <w:pStyle w:val="Heading1"/>
      </w:pPr>
      <w:r>
        <w:t xml:space="preserve">Comprehensive Sales Report: Ophthalmology Services Performance in Italy Rome (Q3 2023)</w:t>
      </w:r>
    </w:p>
    <w:bookmarkStart w:id="20" w:name="introduction"/>
    <w:p>
      <w:pPr>
        <w:pStyle w:val="Heading2"/>
      </w:pPr>
      <w:r>
        <w:t xml:space="preserve">Introduction</w:t>
      </w:r>
    </w:p>
    <w:p>
      <w:pPr>
        <w:pStyle w:val="FirstParagraph"/>
      </w:pPr>
      <w:r>
        <w:t xml:space="preserve">This Sales Report details the performance of ophthalmic services within the Rome healthcare market, focusing on strategic growth opportunities for specialist ophthalmologists operating across Italy's capital. As one of Europe's largest metropolitan centers with over 4.3 million residents and a rapidly aging population, Rome represents a critical territory for specialized eye care providers. This document synthesizes sales data, market dynamics, and actionable insights specifically tailored to Italian ophthalmological practice standards under the national healthcare system (SSN) and private sector channels. The analysis underscores how our clinic's strategic positioning as a premier ophthalmologist service provider has navigated Rome's unique medical landscape.</w:t>
      </w:r>
    </w:p>
    <w:bookmarkEnd w:id="20"/>
    <w:bookmarkStart w:id="21" w:name="X893978dee0a7e65e81eb7cfa2630d8bf09b9d1d"/>
    <w:p>
      <w:pPr>
        <w:pStyle w:val="Heading2"/>
      </w:pPr>
      <w:r>
        <w:t xml:space="preserve">Market Analysis: Ophthalmology Demand in Italy Rome</w:t>
      </w:r>
    </w:p>
    <w:p>
      <w:pPr>
        <w:pStyle w:val="FirstParagraph"/>
      </w:pPr>
      <w:r>
        <w:t xml:space="preserve">Rome's ophthalmology market demonstrates robust growth potential driven by demographic shifts. With 23% of the city's population aged 65+, age-related macular degeneration (AMD), cataracts, and diabetic retinopathy present significant service opportunities. According to Agenzia Italiana del Farmaco (AIFA), Rome accounts for 18% of Italy's total ophthalmology consultations, yet demand consistently outpaces public-sector capacity by 32%. Private clinics like ours have capitalized on this gap through premium services including laser vision correction and advanced retinal treatments. The Italian Ministry of Health's 2023 ophthalmology roadmap emphasizes reducing wait times for complex procedures—a key differentiator for our Rome-based practice. Competitor analysis reveals that only 15% of Rome's private ophthalmologists integrate telemedicine consultations, creating a clear market advantage for our tech-enhanced service model.</w:t>
      </w:r>
    </w:p>
    <w:bookmarkEnd w:id="21"/>
    <w:bookmarkStart w:id="22" w:name="sales-performance-breakdown-q3-2023"/>
    <w:p>
      <w:pPr>
        <w:pStyle w:val="Heading2"/>
      </w:pPr>
      <w:r>
        <w:t xml:space="preserve">Sales Performance Breakdown (Q3 2023)</w:t>
      </w:r>
    </w:p>
    <w:p>
      <w:pPr>
        <w:pStyle w:val="FirstParagraph"/>
      </w:pPr>
      <w:r>
        <w:t xml:space="preserve">Our Rome clinic achieved exceptional sales performance with €875,000 in revenue during Q3 2023, representing a 19.6% increase over Q2 and exceeding annual targets by 14.3%. This growth was driven by three strategic segments:</w:t>
      </w:r>
    </w:p>
    <w:p>
      <w:pPr>
        <w:numPr>
          <w:ilvl w:val="0"/>
          <w:numId w:val="1001"/>
        </w:numPr>
        <w:pStyle w:val="Compact"/>
      </w:pPr>
      <w:r>
        <w:rPr>
          <w:bCs/>
          <w:b/>
        </w:rPr>
        <w:t xml:space="preserve">Diagnostic Services:</w:t>
      </w:r>
      <w:r>
        <w:t xml:space="preserve"> </w:t>
      </w:r>
      <w:r>
        <w:t xml:space="preserve">+28% year-on-year (€315,000) fueled by mandatory age-screening campaigns for residents over 50</w:t>
      </w:r>
    </w:p>
    <w:p>
      <w:pPr>
        <w:numPr>
          <w:ilvl w:val="0"/>
          <w:numId w:val="1001"/>
        </w:numPr>
        <w:pStyle w:val="Compact"/>
      </w:pPr>
      <w:r>
        <w:rPr>
          <w:bCs/>
          <w:b/>
        </w:rPr>
        <w:t xml:space="preserve">Laser Vision Correction:</w:t>
      </w:r>
      <w:r>
        <w:t xml:space="preserve"> </w:t>
      </w:r>
      <w:r>
        <w:t xml:space="preserve">+37% (€298,000) as our ophthalmologist-led team reduced procedure costs by 12% through bulk equipment partnerships</w:t>
      </w:r>
    </w:p>
    <w:p>
      <w:pPr>
        <w:numPr>
          <w:ilvl w:val="0"/>
          <w:numId w:val="1001"/>
        </w:numPr>
        <w:pStyle w:val="Compact"/>
      </w:pPr>
      <w:r>
        <w:rPr>
          <w:bCs/>
          <w:b/>
        </w:rPr>
        <w:t xml:space="preserve">Retinal Therapies:</w:t>
      </w:r>
      <w:r>
        <w:t xml:space="preserve"> </w:t>
      </w:r>
      <w:r>
        <w:t xml:space="preserve">+41% (€262,000) following new SSN contracts for diabetic retinopathy management</w:t>
      </w:r>
    </w:p>
    <w:p>
      <w:pPr>
        <w:pStyle w:val="FirstParagraph"/>
      </w:pPr>
      <w:r>
        <w:t xml:space="preserve">Clinic occupancy reached 92%, significantly above the Rome market average of 78%. Patient retention rates hit 86%—surpassing the national benchmark of 74%—due to our integrated care pathway. The most successful initiative was the "Roma Vision Care" partnership with Roma Capitale, securing municipal contracts for school eye screenings that generated €120,000 in new revenue streams.</w:t>
      </w:r>
    </w:p>
    <w:bookmarkEnd w:id="22"/>
    <w:bookmarkStart w:id="23" w:name="key-growth-initiatives"/>
    <w:p>
      <w:pPr>
        <w:pStyle w:val="Heading2"/>
      </w:pPr>
      <w:r>
        <w:t xml:space="preserve">Key Growth Initiatives</w:t>
      </w:r>
    </w:p>
    <w:p>
      <w:pPr>
        <w:pStyle w:val="FirstParagraph"/>
      </w:pPr>
      <w:r>
        <w:t xml:space="preserve">Our sales strategy centered on three Rome-specific initiatives:</w:t>
      </w:r>
    </w:p>
    <w:p>
      <w:pPr>
        <w:numPr>
          <w:ilvl w:val="0"/>
          <w:numId w:val="1002"/>
        </w:numPr>
        <w:pStyle w:val="Compact"/>
      </w:pPr>
      <w:r>
        <w:rPr>
          <w:bCs/>
          <w:b/>
        </w:rPr>
        <w:t xml:space="preserve">SSN Contract Expansion:</w:t>
      </w:r>
      <w:r>
        <w:t xml:space="preserve"> </w:t>
      </w:r>
      <w:r>
        <w:t xml:space="preserve">Secured 7 new contracts with Rome healthcare authorities for cataract surgeries at €1,850 per procedure (12% above standard rates), leveraging our ophthalmologist's accreditation with the Italian Society of Ophthalmology (SIO).</w:t>
      </w:r>
    </w:p>
    <w:p>
      <w:pPr>
        <w:numPr>
          <w:ilvl w:val="0"/>
          <w:numId w:val="1002"/>
        </w:numPr>
        <w:pStyle w:val="Compact"/>
      </w:pPr>
      <w:r>
        <w:rPr>
          <w:bCs/>
          <w:b/>
        </w:rPr>
        <w:t xml:space="preserve">Community Outreach:</w:t>
      </w:r>
      <w:r>
        <w:t xml:space="preserve"> </w:t>
      </w:r>
      <w:r>
        <w:t xml:space="preserve">Partnered with Roman universities (La Sapienza, Tor Vergata) for free retinal screenings at 8 public locations, generating 420 qualified leads and establishing our clinic as the neighborhood ophthalmologist of choice.</w:t>
      </w:r>
    </w:p>
    <w:p>
      <w:pPr>
        <w:numPr>
          <w:ilvl w:val="0"/>
          <w:numId w:val="1002"/>
        </w:numPr>
        <w:pStyle w:val="Compact"/>
      </w:pPr>
      <w:r>
        <w:rPr>
          <w:bCs/>
          <w:b/>
        </w:rPr>
        <w:t xml:space="preserve">Digital Transformation:</w:t>
      </w:r>
      <w:r>
        <w:t xml:space="preserve"> </w:t>
      </w:r>
      <w:r>
        <w:t xml:space="preserve">Launched "RomeEyeCare" telemedicine platform integrated with the Italian National Health System's Telematica framework, increasing appointment bookings by 58% while reducing no-show rates to 7% (vs. Rome average of 23%).</w:t>
      </w:r>
    </w:p>
    <w:bookmarkEnd w:id="23"/>
    <w:bookmarkStart w:id="24" w:name="market-challenges-in-italy-rome"/>
    <w:p>
      <w:pPr>
        <w:pStyle w:val="Heading2"/>
      </w:pPr>
      <w:r>
        <w:t xml:space="preserve">Market Challenges in Italy Rome</w:t>
      </w:r>
    </w:p>
    <w:p>
      <w:pPr>
        <w:pStyle w:val="FirstParagraph"/>
      </w:pPr>
      <w:r>
        <w:t xml:space="preserve">Despite strong performance, Rome presents unique operational challenges for ophthalmologists. The city's complex administrative landscape requires navigating multiple municipal healthcare protocols—a process that consumed 17% of our sales team's time in Q3. Additionally, high competition from established clinics like Ospedale Sant'Andrea has driven down standard pricing for routine exams by 9%. Regulatory hurdles also impacted our mobile eye unit operations; Rome's strict traffic restrictions delayed clinic setup at new locations by an average of 14 days. Crucially, we identified a critical gap: only 38% of private ophthalmology practices in Rome utilize data-driven patient acquisition—presenting a clear competitive edge for our analytics-focused approach.</w:t>
      </w:r>
    </w:p>
    <w:bookmarkEnd w:id="24"/>
    <w:bookmarkStart w:id="25" w:name="future-strategic-recommendations"/>
    <w:p>
      <w:pPr>
        <w:pStyle w:val="Heading2"/>
      </w:pPr>
      <w:r>
        <w:t xml:space="preserve">Future Strategic Recommendations</w:t>
      </w:r>
    </w:p>
    <w:p>
      <w:pPr>
        <w:pStyle w:val="FirstParagraph"/>
      </w:pPr>
      <w:r>
        <w:t xml:space="preserve">To sustain growth in Italy Rome's competitive market, the following actions are recommended:</w:t>
      </w:r>
    </w:p>
    <w:p>
      <w:pPr>
        <w:numPr>
          <w:ilvl w:val="0"/>
          <w:numId w:val="1003"/>
        </w:numPr>
        <w:pStyle w:val="Compact"/>
      </w:pPr>
      <w:r>
        <w:rPr>
          <w:bCs/>
          <w:b/>
        </w:rPr>
        <w:t xml:space="preserve">Expand SSN Partnerships:</w:t>
      </w:r>
      <w:r>
        <w:t xml:space="preserve"> </w:t>
      </w:r>
      <w:r>
        <w:t xml:space="preserve">Target 5 additional healthcare districts by Q1 2024 through dedicated Rome-based liaison officers to navigate municipal bureaucracy.</w:t>
      </w:r>
    </w:p>
    <w:p>
      <w:pPr>
        <w:numPr>
          <w:ilvl w:val="0"/>
          <w:numId w:val="1003"/>
        </w:numPr>
        <w:pStyle w:val="Compact"/>
      </w:pPr>
      <w:r>
        <w:rPr>
          <w:bCs/>
          <w:b/>
        </w:rPr>
        <w:t xml:space="preserve">Specialize in High-Value Services:</w:t>
      </w:r>
      <w:r>
        <w:t xml:space="preserve"> </w:t>
      </w:r>
      <w:r>
        <w:t xml:space="preserve">Launch a premium glaucoma management program (only 9% of Rome clinics offer specialized care) with €3,500 treatment packages.</w:t>
      </w:r>
    </w:p>
    <w:p>
      <w:pPr>
        <w:numPr>
          <w:ilvl w:val="0"/>
          <w:numId w:val="1003"/>
        </w:numPr>
        <w:pStyle w:val="Compact"/>
      </w:pPr>
      <w:r>
        <w:rPr>
          <w:bCs/>
          <w:b/>
        </w:rPr>
        <w:t xml:space="preserve">Leverage Digital Leadership:</w:t>
      </w:r>
      <w:r>
        <w:t xml:space="preserve"> </w:t>
      </w:r>
      <w:r>
        <w:t xml:space="preserve">Develop an AI-powered early detection tool for AMD to position as Rome's first ophthalmologist technology innovator—aligning with Italy's National Digital Strategy 2025.</w:t>
      </w:r>
    </w:p>
    <w:p>
      <w:pPr>
        <w:numPr>
          <w:ilvl w:val="0"/>
          <w:numId w:val="1003"/>
        </w:numPr>
        <w:pStyle w:val="Compact"/>
      </w:pPr>
      <w:r>
        <w:rPr>
          <w:bCs/>
          <w:b/>
        </w:rPr>
        <w:t xml:space="preserve">Community Integration:</w:t>
      </w:r>
      <w:r>
        <w:t xml:space="preserve"> </w:t>
      </w:r>
      <w:r>
        <w:t xml:space="preserve">Establish "Ophthalmology Ambassador" roles at 3 major Roman shopping centers (e.g., La Rinascente, Centrale Montemartini) for real-time health screenings.</w:t>
      </w:r>
    </w:p>
    <w:p>
      <w:pPr>
        <w:pStyle w:val="FirstParagraph"/>
      </w:pPr>
      <w:r>
        <w:t xml:space="preserve">Our projected Q4 sales target of €950,000 aligns with Rome's market growth trajectory. The implementation of these strategies will solidify our position as the leading ophthalmologist practice in Italy Rome, directly addressing the city's unmet need for accessible, technology-forward eye care.</w:t>
      </w:r>
    </w:p>
    <w:bookmarkEnd w:id="25"/>
    <w:bookmarkStart w:id="26" w:name="conclusion"/>
    <w:p>
      <w:pPr>
        <w:pStyle w:val="Heading2"/>
      </w:pPr>
      <w:r>
        <w:t xml:space="preserve">Conclusion</w:t>
      </w:r>
    </w:p>
    <w:p>
      <w:pPr>
        <w:pStyle w:val="FirstParagraph"/>
      </w:pPr>
      <w:r>
        <w:t xml:space="preserve">This Sales Report confirms that strategic alignment with Rome's unique healthcare ecosystem positions specialized ophthalmologists for sustained growth. By leveraging our clinic's strengths in SSN integration, telemedicine adoption, and community engagement within Italy Rome's specific regulatory framework, we've achieved market leadership metrics exceeding national averages. The data underscores that success in this sector requires more than clinical excellence—it demands operational agility within Rome's complex municipal health environment. As the Italian National Health Service continues prioritizing ophthalmology services through its 2023-2027 strategic plan, our Rome clinic is uniquely positioned to capture market share through innovation and deep local engagement. We recommend maintaining our current strategy while accelerating digital initiatives to capitalize on Rome's projected 14.8% annual growth in specialized eye care demand.</w:t>
      </w:r>
    </w:p>
    <w:p>
      <w:pPr>
        <w:pStyle w:val="BodyText"/>
      </w:pPr>
      <w:r>
        <w:rPr>
          <w:bCs/>
          <w:b/>
        </w:rPr>
        <w:t xml:space="preserve">Prepared For:</w:t>
      </w:r>
      <w:r>
        <w:t xml:space="preserve"> </w:t>
      </w:r>
      <w:r>
        <w:t xml:space="preserve">Management Board, Italian Ophthalmology Association (SIO) - Rome Chapter</w:t>
      </w:r>
    </w:p>
    <w:p>
      <w:pPr>
        <w:pStyle w:val="BodyText"/>
      </w:pP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Italy Rome Market Analysis</dc:title>
  <dc:creator/>
  <dc:language>en</dc:language>
  <cp:keywords/>
  <dcterms:created xsi:type="dcterms:W3CDTF">2026-07-24T00:20:11Z</dcterms:created>
  <dcterms:modified xsi:type="dcterms:W3CDTF">2026-07-24T00:20:11Z</dcterms:modified>
</cp:coreProperties>
</file>

<file path=docProps/custom.xml><?xml version="1.0" encoding="utf-8"?>
<Properties xmlns="http://schemas.openxmlformats.org/officeDocument/2006/custom-properties" xmlns:vt="http://schemas.openxmlformats.org/officeDocument/2006/docPropsVTypes"/>
</file>