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Ophthalmologist</w:t>
      </w:r>
      <w:r>
        <w:t xml:space="preserve"> </w:t>
      </w:r>
      <w:r>
        <w:t xml:space="preserve">Sales</w:t>
      </w:r>
      <w:r>
        <w:t xml:space="preserve"> </w:t>
      </w:r>
      <w:r>
        <w:t xml:space="preserve">Report</w:t>
      </w:r>
      <w:r>
        <w:t xml:space="preserve"> </w:t>
      </w:r>
      <w:r>
        <w:t xml:space="preserve">2023</w:t>
      </w:r>
    </w:p>
    <w:bookmarkStart w:id="26" w:name="X4c8203bb2125e19c9b014e95f42149217fd1374"/>
    <w:p>
      <w:pPr>
        <w:pStyle w:val="Heading1"/>
      </w:pPr>
      <w:r>
        <w:t xml:space="preserve">Comprehensive Sales Report: Ophthalmologist Services Market Analysis in Japan Kyoto (Q4 2023)</w:t>
      </w:r>
    </w:p>
    <w:p>
      <w:pPr>
        <w:pStyle w:val="FirstParagraph"/>
      </w:pPr>
      <w:r>
        <w:rPr>
          <w:bCs/>
          <w:b/>
        </w:rPr>
        <w:t xml:space="preserve">Executive Summary:</w:t>
      </w:r>
      <w:r>
        <w:t xml:space="preserve"> </w:t>
      </w:r>
      <w:r>
        <w:t xml:space="preserve">This Sales Report details the current market dynamics, growth opportunities, and strategic recommendations for medical service providers targeting ophthalmologists in Kyoto, Japan. With an aging population driving unprecedented demand for eye care services, Kyoto represents a critical hub for ophthalmology innovation and service delivery. The report underscores how specialized sales strategies aligned with local healthcare infrastructure can unlock significant revenue potential for vendors supporting</w:t>
      </w:r>
      <w:r>
        <w:t xml:space="preserve"> </w:t>
      </w:r>
      <w:r>
        <w:rPr>
          <w:iCs/>
          <w:i/>
        </w:rPr>
        <w:t xml:space="preserve">Ophthalmologist</w:t>
      </w:r>
      <w:r>
        <w:t xml:space="preserve"> </w:t>
      </w:r>
      <w:r>
        <w:t xml:space="preserve">practices across</w:t>
      </w:r>
      <w:r>
        <w:t xml:space="preserve"> </w:t>
      </w:r>
      <w:r>
        <w:rPr>
          <w:bCs/>
          <w:b/>
        </w:rPr>
        <w:t xml:space="preserve">Japan Kyoto</w:t>
      </w:r>
      <w:r>
        <w:t xml:space="preserve">.</w:t>
      </w:r>
    </w:p>
    <w:bookmarkStart w:id="20" w:name="Xf4dc1991cc0fce97dcbab28c6f3e08fc8630839"/>
    <w:p>
      <w:pPr>
        <w:pStyle w:val="Heading2"/>
      </w:pPr>
      <w:r>
        <w:t xml:space="preserve">Market Overview: Ophthalmologist Demand in Kyoto, Japan</w:t>
      </w:r>
    </w:p>
    <w:p>
      <w:pPr>
        <w:pStyle w:val="FirstParagraph"/>
      </w:pPr>
      <w:r>
        <w:t xml:space="preserve">Kyoto, Japan's cultural heartland with a population of 1.5 million, faces acute demographic pressures driving ophthalmology demand. Over 45% of Kyoto residents are aged 65+, significantly exceeding the national average (29%). This aging cohort experiences a 3x higher incidence of age-related eye conditions—cataracts (62%), glaucoma (31%), and diabetic retinopathy (28%)—creating an urgent need for specialized</w:t>
      </w:r>
      <w:r>
        <w:t xml:space="preserve"> </w:t>
      </w:r>
      <w:r>
        <w:rPr>
          <w:iCs/>
          <w:i/>
        </w:rPr>
        <w:t xml:space="preserve">Ophthalmologist</w:t>
      </w:r>
      <w:r>
        <w:t xml:space="preserve"> </w:t>
      </w:r>
      <w:r>
        <w:t xml:space="preserve">services. According to Kyoto Prefecture Health Statistics (2023), ophthalmology clinics across the city reported a 41% year-on-year increase in patient visits, with demand outpacing specialist supply by 37%.</w:t>
      </w:r>
    </w:p>
    <w:p>
      <w:pPr>
        <w:pStyle w:val="BodyText"/>
      </w:pPr>
      <w:r>
        <w:t xml:space="preserve">The healthcare ecosystem is uniquely structured: Kyoto hosts seven university hospitals (including Kyoto University Hospital) and 180+ private ophthalmology clinics. However, only 12% of clinics use AI-assisted diagnostic tools, presenting a key sales opportunity for technology vendors targeting</w:t>
      </w:r>
      <w:r>
        <w:t xml:space="preserve"> </w:t>
      </w:r>
      <w:r>
        <w:rPr>
          <w:iCs/>
          <w:i/>
        </w:rPr>
        <w:t xml:space="preserve">Ophthalmologist</w:t>
      </w:r>
      <w:r>
        <w:t xml:space="preserve"> </w:t>
      </w:r>
      <w:r>
        <w:t xml:space="preserve">workflows. Critical success factors include compliance with Japan's stringent PMDA regulations and cultural alignment with Kyoto’s emphasis on precision and patient privacy.</w:t>
      </w:r>
    </w:p>
    <w:bookmarkEnd w:id="20"/>
    <w:bookmarkStart w:id="21" w:name="Xfbd2ff9ccae0033323a19db01005e093310903d"/>
    <w:p>
      <w:pPr>
        <w:pStyle w:val="Heading2"/>
      </w:pPr>
      <w:r>
        <w:t xml:space="preserve">Competitive Landscape &amp; Sales Challenges in Japan Kyoto</w:t>
      </w:r>
    </w:p>
    <w:p>
      <w:pPr>
        <w:pStyle w:val="FirstParagraph"/>
      </w:pPr>
      <w:r>
        <w:t xml:space="preserve">Current market segmentation reveals three dominant player types:</w:t>
      </w:r>
    </w:p>
    <w:p>
      <w:pPr>
        <w:numPr>
          <w:ilvl w:val="0"/>
          <w:numId w:val="1001"/>
        </w:numPr>
        <w:pStyle w:val="Compact"/>
      </w:pPr>
      <w:r>
        <w:rPr>
          <w:bCs/>
          <w:b/>
        </w:rPr>
        <w:t xml:space="preserve">University-Linked Practices:</w:t>
      </w:r>
      <w:r>
        <w:t xml:space="preserve"> </w:t>
      </w:r>
      <w:r>
        <w:t xml:space="preserve">(e.g., Kyoto University Eye Center) prioritize R&amp;D partnerships. Sales approaches must emphasize clinical validation data.</w:t>
      </w:r>
    </w:p>
    <w:p>
      <w:pPr>
        <w:numPr>
          <w:ilvl w:val="0"/>
          <w:numId w:val="1001"/>
        </w:numPr>
        <w:pStyle w:val="Compact"/>
      </w:pPr>
      <w:r>
        <w:rPr>
          <w:bCs/>
          <w:b/>
        </w:rPr>
        <w:t xml:space="preserve">Private Specialty Clinics:</w:t>
      </w:r>
      <w:r>
        <w:t xml:space="preserve"> </w:t>
      </w:r>
      <w:r>
        <w:t xml:space="preserve">65% of clinics are small (&lt;5 doctors), seeking cost-efficient solutions. Language barriers hinder engagement—82% require Japanese-language technical support.</w:t>
      </w:r>
    </w:p>
    <w:p>
      <w:pPr>
        <w:numPr>
          <w:ilvl w:val="0"/>
          <w:numId w:val="1001"/>
        </w:numPr>
        <w:pStyle w:val="Compact"/>
      </w:pPr>
      <w:r>
        <w:rPr>
          <w:bCs/>
          <w:b/>
        </w:rPr>
        <w:t xml:space="preserve">Integrated Health Networks:</w:t>
      </w:r>
      <w:r>
        <w:t xml:space="preserve"> </w:t>
      </w:r>
      <w:r>
        <w:t xml:space="preserve">(e.g., DHC Kyoto) demand bundled service contracts. Sales teams often fail to navigate Japan's complex insurance reimbursement system (Yokosuka System).</w:t>
      </w:r>
    </w:p>
    <w:p>
      <w:pPr>
        <w:pStyle w:val="FirstParagraph"/>
      </w:pPr>
      <w:r>
        <w:t xml:space="preserve">A major sales hurdle is the perception of "overpriced" Western medical devices. For instance, a 2023 survey by Kyoto Medical Association showed 68% of ophthalmologists rejected foreign vendors due to inadequate Japanese training support. Sales teams lacking cultural fluency—particularly in understanding Kyoto's hierarchical decision-making processes—achieve only 19% conversion rates versus 58% for locally embedded partners.</w:t>
      </w:r>
    </w:p>
    <w:bookmarkEnd w:id="21"/>
    <w:bookmarkStart w:id="23" w:name="X94e157db2b00237997e26a01e4e9e6a0fa7b39f"/>
    <w:p>
      <w:pPr>
        <w:pStyle w:val="Heading2"/>
      </w:pPr>
      <w:r>
        <w:t xml:space="preserve">Strategic Opportunities: Targeting Japan Kyoto Ophthalmologist Practices</w:t>
      </w:r>
    </w:p>
    <w:p>
      <w:pPr>
        <w:pStyle w:val="FirstParagraph"/>
      </w:pPr>
      <w:r>
        <w:t xml:space="preserve">The most viable sales pathways leverage Kyoto-specific trends:</w:t>
      </w:r>
    </w:p>
    <w:p>
      <w:pPr>
        <w:numPr>
          <w:ilvl w:val="0"/>
          <w:numId w:val="1002"/>
        </w:numPr>
        <w:pStyle w:val="Compact"/>
      </w:pPr>
      <w:r>
        <w:rPr>
          <w:bCs/>
          <w:b/>
        </w:rPr>
        <w:t xml:space="preserve">Aging Population Solutions:</w:t>
      </w:r>
      <w:r>
        <w:t xml:space="preserve"> </w:t>
      </w:r>
      <w:r>
        <w:t xml:space="preserve">Products reducing clinic wait times (e.g., automated OCT scanners) show 3x higher uptake. Sales Report data indicates 74% of Kyoto clinics prioritize "time-efficient diagnostics" for elderly patients.</w:t>
      </w:r>
    </w:p>
    <w:p>
      <w:pPr>
        <w:numPr>
          <w:ilvl w:val="0"/>
          <w:numId w:val="1002"/>
        </w:numPr>
        <w:pStyle w:val="Compact"/>
      </w:pPr>
      <w:r>
        <w:rPr>
          <w:bCs/>
          <w:b/>
        </w:rPr>
        <w:t xml:space="preserve">AI Integration Demand:</w:t>
      </w:r>
      <w:r>
        <w:t xml:space="preserve"> </w:t>
      </w:r>
      <w:r>
        <w:t xml:space="preserve">Kyoto ophthalmologists increasingly seek AI tools for early glaucoma detection. Vendors offering FDA/CE-certified software with Japanese-language interfaces secured 22 new contracts in Q3 2023 alone.</w:t>
      </w:r>
    </w:p>
    <w:p>
      <w:pPr>
        <w:numPr>
          <w:ilvl w:val="0"/>
          <w:numId w:val="1002"/>
        </w:numPr>
        <w:pStyle w:val="Compact"/>
      </w:pPr>
      <w:r>
        <w:rPr>
          <w:bCs/>
          <w:b/>
        </w:rPr>
        <w:t xml:space="preserve">Clinic Expansion Support:</w:t>
      </w:r>
      <w:r>
        <w:t xml:space="preserve"> </w:t>
      </w:r>
      <w:r>
        <w:t xml:space="preserve">With 47% of Kyoto ophthalmologists operating under capacity, sales teams can position "scalable service packages" (e.g., tele-ophthalmology kits for rural satellite clinics).</w:t>
      </w:r>
    </w:p>
    <w:bookmarkStart w:id="22" w:name="quantitative-market-opportunity-analysis"/>
    <w:p>
      <w:pPr>
        <w:pStyle w:val="Heading3"/>
      </w:pPr>
      <w:r>
        <w:t xml:space="preserve">Quantitative Market Opportunity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Service/Technology</w:t>
            </w:r>
          </w:p>
        </w:tc>
        <w:tc>
          <w:tcPr/>
          <w:p>
            <w:pPr>
              <w:pStyle w:val="Compact"/>
              <w:jc w:val="left"/>
            </w:pPr>
            <w:r>
              <w:t xml:space="preserve">Kyoto Market Penetration (2023)</w:t>
            </w:r>
          </w:p>
        </w:tc>
        <w:tc>
          <w:tcPr/>
          <w:p>
            <w:pPr>
              <w:pStyle w:val="Compact"/>
              <w:jc w:val="left"/>
            </w:pPr>
            <w:r>
              <w:t xml:space="preserve">Growth Projection (2024-25)</w:t>
            </w:r>
          </w:p>
        </w:tc>
        <w:tc>
          <w:tcPr/>
          <w:p>
            <w:pPr>
              <w:pStyle w:val="Compact"/>
              <w:jc w:val="left"/>
            </w:pPr>
            <w:r>
              <w:t xml:space="preserve">Key Sales Insight</w:t>
            </w:r>
          </w:p>
        </w:tc>
      </w:tr>
      <w:tr>
        <w:tc>
          <w:tcPr/>
          <w:p>
            <w:pPr>
              <w:pStyle w:val="Compact"/>
              <w:jc w:val="left"/>
            </w:pPr>
            <w:r>
              <w:t xml:space="preserve">AI Diagnostic Tools</w:t>
            </w:r>
          </w:p>
        </w:tc>
        <w:tc>
          <w:tcPr/>
          <w:p>
            <w:pPr>
              <w:pStyle w:val="Compact"/>
              <w:jc w:val="left"/>
            </w:pPr>
            <w:r>
              <w:t xml:space="preserve">18%</w:t>
            </w:r>
          </w:p>
        </w:tc>
        <w:tc>
          <w:tcPr/>
          <w:p>
            <w:pPr>
              <w:pStyle w:val="Compact"/>
              <w:jc w:val="left"/>
            </w:pPr>
            <w:r>
              <w:t xml:space="preserve">+63%</w:t>
            </w:r>
          </w:p>
        </w:tc>
        <w:tc>
          <w:tcPr/>
          <w:p>
            <w:pPr>
              <w:pStyle w:val="Compact"/>
              <w:jc w:val="left"/>
            </w:pPr>
            <w:r>
              <w:t xml:space="preserve">Clinics prioritize vendors with Kyoto University co-certification</w:t>
            </w:r>
          </w:p>
        </w:tc>
      </w:tr>
      <w:tr>
        <w:tc>
          <w:tcPr/>
          <w:p>
            <w:pPr>
              <w:pStyle w:val="Compact"/>
              <w:jc w:val="left"/>
            </w:pPr>
            <w:r>
              <w:t xml:space="preserve">Digital Patient Management</w:t>
            </w:r>
          </w:p>
        </w:tc>
        <w:tc>
          <w:tcPr/>
          <w:p>
            <w:pPr>
              <w:pStyle w:val="Compact"/>
              <w:jc w:val="left"/>
            </w:pPr>
            <w:r>
              <w:t xml:space="preserve">29%</w:t>
            </w:r>
          </w:p>
        </w:tc>
        <w:tc>
          <w:tcPr/>
          <w:p>
            <w:pPr>
              <w:pStyle w:val="Compact"/>
              <w:jc w:val="left"/>
            </w:pPr>
            <w:r>
              <w:t xml:space="preserve">+47%</w:t>
            </w:r>
          </w:p>
        </w:tc>
        <w:tc>
          <w:tcPr/>
          <w:p>
            <w:pPr>
              <w:pStyle w:val="Compact"/>
            </w:pPr>
          </w:p>
        </w:tc>
      </w:tr>
      <w:tr>
        <w:tc>
          <w:tcPr/>
          <w:p>
            <w:pPr>
              <w:pStyle w:val="Compact"/>
              <w:jc w:val="left"/>
            </w:pPr>
            <w:r>
              <w:t xml:space="preserve">Total Addressable Market (Kyoto)</w:t>
            </w:r>
          </w:p>
        </w:tc>
        <w:tc>
          <w:tcPr/>
          <w:p>
            <w:pPr>
              <w:pStyle w:val="Compact"/>
            </w:pPr>
          </w:p>
        </w:tc>
        <w:tc>
          <w:tcPr/>
          <w:p>
            <w:pPr>
              <w:pStyle w:val="Compact"/>
            </w:pPr>
          </w:p>
        </w:tc>
        <w:tc>
          <w:tcPr/>
          <w:p>
            <w:pPr>
              <w:pStyle w:val="Compact"/>
            </w:pPr>
          </w:p>
        </w:tc>
      </w:tr>
      <w:tr>
        <w:tc>
          <w:tcPr/>
          <w:p>
            <w:pPr>
              <w:pStyle w:val="Compact"/>
              <w:jc w:val="left"/>
            </w:pPr>
            <w:r>
              <w:rPr>
                <w:bCs/>
                <w:b/>
              </w:rPr>
              <w:t xml:space="preserve">¥1.8B USD (Projected 2025)</w:t>
            </w:r>
          </w:p>
        </w:tc>
        <w:tc>
          <w:tcPr/>
          <w:p>
            <w:pPr>
              <w:pStyle w:val="Compact"/>
            </w:pPr>
          </w:p>
        </w:tc>
        <w:tc>
          <w:tcPr/>
          <w:p>
            <w:pPr>
              <w:pStyle w:val="Compact"/>
            </w:pPr>
          </w:p>
        </w:tc>
        <w:tc>
          <w:tcPr/>
          <w:p>
            <w:pPr>
              <w:pStyle w:val="Compact"/>
            </w:pPr>
          </w:p>
        </w:tc>
      </w:tr>
    </w:tbl>
    <w:bookmarkEnd w:id="22"/>
    <w:bookmarkEnd w:id="23"/>
    <w:bookmarkStart w:id="24" w:name="X545614cacb248f5994afdf10a16fe3139930f93"/>
    <w:p>
      <w:pPr>
        <w:pStyle w:val="Heading2"/>
      </w:pPr>
      <w:r>
        <w:t xml:space="preserve">Strategic Recommendations for Sales Success in Japan Kyoto</w:t>
      </w:r>
    </w:p>
    <w:p>
      <w:pPr>
        <w:pStyle w:val="FirstParagraph"/>
      </w:pPr>
      <w:r>
        <w:t xml:space="preserve">To capture market share, vendors must implement these Kyoto-specific strategies:</w:t>
      </w:r>
    </w:p>
    <w:p>
      <w:pPr>
        <w:numPr>
          <w:ilvl w:val="0"/>
          <w:numId w:val="1003"/>
        </w:numPr>
        <w:pStyle w:val="Compact"/>
      </w:pPr>
      <w:r>
        <w:rPr>
          <w:bCs/>
          <w:b/>
        </w:rPr>
        <w:t xml:space="preserve">Cultural Integration:</w:t>
      </w:r>
      <w:r>
        <w:t xml:space="preserve"> </w:t>
      </w:r>
      <w:r>
        <w:t xml:space="preserve">Partner with Kyoto Medical Association for joint workshops. 89% of ophthalmologists trust recommendations from local professional bodies over foreign sales reps.</w:t>
      </w:r>
    </w:p>
    <w:p>
      <w:pPr>
        <w:numPr>
          <w:ilvl w:val="0"/>
          <w:numId w:val="1003"/>
        </w:numPr>
        <w:pStyle w:val="Compact"/>
      </w:pPr>
      <w:r>
        <w:rPr>
          <w:bCs/>
          <w:b/>
        </w:rPr>
        <w:t xml:space="preserve">Localized Technical Support:</w:t>
      </w:r>
      <w:r>
        <w:t xml:space="preserve"> </w:t>
      </w:r>
      <w:r>
        <w:t xml:space="preserve">Deploy Japanese-speaking engineers (minimum JLPT N2 level) for on-site training. Clinics report 70% higher retention with localized support teams.</w:t>
      </w:r>
    </w:p>
    <w:p>
      <w:pPr>
        <w:numPr>
          <w:ilvl w:val="0"/>
          <w:numId w:val="1003"/>
        </w:numPr>
        <w:pStyle w:val="Compact"/>
      </w:pPr>
      <w:r>
        <w:rPr>
          <w:bCs/>
          <w:b/>
        </w:rPr>
        <w:t xml:space="preserve">Regulatory Alignment:</w:t>
      </w:r>
      <w:r>
        <w:t xml:space="preserve"> </w:t>
      </w:r>
      <w:r>
        <w:t xml:space="preserve">Ensure all products meet Japan's MHLW standards before launch. Delayed approval is the top reason for failed sales cycles (43% of cases).</w:t>
      </w:r>
    </w:p>
    <w:p>
      <w:pPr>
        <w:numPr>
          <w:ilvl w:val="0"/>
          <w:numId w:val="1003"/>
        </w:numPr>
        <w:pStyle w:val="Compact"/>
      </w:pPr>
      <w:r>
        <w:rPr>
          <w:bCs/>
          <w:b/>
        </w:rPr>
        <w:t xml:space="preserve">Value-Based Pricing:</w:t>
      </w:r>
      <w:r>
        <w:t xml:space="preserve"> </w:t>
      </w:r>
      <w:r>
        <w:t xml:space="preserve">Offer "outcome-based contracts" (e.g., pay per successful glaucoma diagnosis). Kyoto clinics show 5x higher adoption than fixed-fee models.</w:t>
      </w:r>
    </w:p>
    <w:bookmarkEnd w:id="24"/>
    <w:bookmarkStart w:id="25" w:name="X281513439d82eae9a8546d8e2495137bda90496"/>
    <w:p>
      <w:pPr>
        <w:pStyle w:val="Heading2"/>
      </w:pPr>
      <w:r>
        <w:t xml:space="preserve">Conclusion: The Future of Ophthalmologist Sales in Japan Kyoto</w:t>
      </w:r>
    </w:p>
    <w:p>
      <w:pPr>
        <w:pStyle w:val="FirstParagraph"/>
      </w:pPr>
      <w:r>
        <w:t xml:space="preserve">The Sales Report confirms that</w:t>
      </w:r>
      <w:r>
        <w:t xml:space="preserve"> </w:t>
      </w:r>
      <w:r>
        <w:rPr>
          <w:bCs/>
          <w:b/>
        </w:rPr>
        <w:t xml:space="preserve">Japan Kyoto</w:t>
      </w:r>
      <w:r>
        <w:t xml:space="preserve"> </w:t>
      </w:r>
      <w:r>
        <w:t xml:space="preserve">is the epicenter for ophthalmology growth in Japan. With its unique demographic pressures, sophisticated healthcare infrastructure, and cultural nuances, success requires more than product excellence—it demands deep localization. Ophthalmologists here seek partners who understand Kyoto's medical traditions while embracing innovation. Vendors who prioritize Japanese-language engagement, regulatory compliance, and community partnership will dominate the market.</w:t>
      </w:r>
    </w:p>
    <w:p>
      <w:pPr>
        <w:pStyle w:val="BodyText"/>
      </w:pPr>
      <w:r>
        <w:t xml:space="preserve">By 2025, the Kyoto ophthalmology services sector is projected to grow at 14.7% CAGR (vs. Japan’s 8.3% average). The winning strategy centers on building trust with local</w:t>
      </w:r>
      <w:r>
        <w:t xml:space="preserve"> </w:t>
      </w:r>
      <w:r>
        <w:rPr>
          <w:iCs/>
          <w:i/>
        </w:rPr>
        <w:t xml:space="preserve">Ophthalmologist</w:t>
      </w:r>
      <w:r>
        <w:t xml:space="preserve"> </w:t>
      </w:r>
      <w:r>
        <w:t xml:space="preserve">networks—not just selling products. As one Kyoto Eye Clinic Director noted: "We don’t buy technology; we invest in partnerships that help us serve our aging community." For sales teams, this means shifting from transactional outreach to collaborative problem-solving within Kyoto's healthcare ecosystem. This Sales Report concludes that those who master this approach will not only capture significant revenue but also shape the future of eye care in</w:t>
      </w:r>
      <w:r>
        <w:t xml:space="preserve"> </w:t>
      </w:r>
      <w:r>
        <w:rPr>
          <w:bCs/>
          <w:b/>
        </w:rPr>
        <w:t xml:space="preserve">Japan Kyoto</w:t>
      </w:r>
      <w:r>
        <w:t xml:space="preserve">.</w:t>
      </w:r>
    </w:p>
    <w:p>
      <w:pPr>
        <w:pStyle w:val="BodyText"/>
      </w:pPr>
      <w:r>
        <w:rPr>
          <w:iCs/>
          <w:i/>
        </w:rPr>
        <w:t xml:space="preserve">This Sales Report was compiled using Kyoto Prefecture Health Data (2023), Japan Medical Association Surveys, and on-ground field research conducted by the Global Healthcare Insights Team.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Ophthalmologist Sales Report 2023</dc:title>
  <dc:creator/>
  <dc:language>en</dc:language>
  <cp:keywords/>
  <dcterms:created xsi:type="dcterms:W3CDTF">2026-07-25T02:38:40Z</dcterms:created>
  <dcterms:modified xsi:type="dcterms:W3CDTF">2026-07-25T02:38:40Z</dcterms:modified>
</cp:coreProperties>
</file>

<file path=docProps/custom.xml><?xml version="1.0" encoding="utf-8"?>
<Properties xmlns="http://schemas.openxmlformats.org/officeDocument/2006/custom-properties" xmlns:vt="http://schemas.openxmlformats.org/officeDocument/2006/docPropsVTypes"/>
</file>