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r>
        <w:t xml:space="preserve"> </w:t>
      </w:r>
      <w:r>
        <w:t xml:space="preserve">Analysis</w:t>
      </w:r>
    </w:p>
    <w:bookmarkStart w:id="28" w:name="Xbe34dd564bb3768000b34fe0870982a726df687"/>
    <w:p>
      <w:pPr>
        <w:pStyle w:val="Heading1"/>
      </w:pPr>
      <w:r>
        <w:t xml:space="preserve">Comprehensive Ophthalmology Sales Report: Strategic Market Insights for Japan Osaka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Medical Solutions Division</w:t>
      </w:r>
      <w:r>
        <w:br/>
      </w:r>
      <w:r>
        <w:rPr>
          <w:bCs/>
          <w:b/>
        </w:rPr>
        <w:t xml:space="preserve">Report Focus:</w:t>
      </w:r>
      <w:r>
        <w:t xml:space="preserve"> </w:t>
      </w:r>
      <w:r>
        <w:t xml:space="preserve">Ophthalmology Equipment and Service Sales Performance in Osaka, Japan</w:t>
      </w:r>
    </w:p>
    <w:bookmarkStart w:id="20" w:name="executive-summary"/>
    <w:p>
      <w:pPr>
        <w:pStyle w:val="Heading2"/>
      </w:pPr>
      <w:r>
        <w:t xml:space="preserve">Executive Summary</w:t>
      </w:r>
    </w:p>
    <w:p>
      <w:pPr>
        <w:pStyle w:val="FirstParagraph"/>
      </w:pPr>
      <w:r>
        <w:t xml:space="preserve">This Sales Report details the current market landscape for ophthalmology-related products and services within Osaka Prefecture, Japan. With Osaka serving as a critical hub for advanced healthcare delivery in Western Japan, the demand for sophisticated ophthalmic solutions continues to rise exponentially. Our strategic analysis reveals that partnerships with local</w:t>
      </w:r>
      <w:r>
        <w:t xml:space="preserve"> </w:t>
      </w:r>
      <w:r>
        <w:rPr>
          <w:bCs/>
          <w:b/>
        </w:rPr>
        <w:t xml:space="preserve">Ophthalmologist</w:t>
      </w:r>
      <w:r>
        <w:t xml:space="preserve"> </w:t>
      </w:r>
      <w:r>
        <w:t xml:space="preserve">networks in</w:t>
      </w:r>
      <w:r>
        <w:t xml:space="preserve"> </w:t>
      </w:r>
      <w:r>
        <w:rPr>
          <w:bCs/>
          <w:b/>
        </w:rPr>
        <w:t xml:space="preserve">Japan Osaka</w:t>
      </w:r>
      <w:r>
        <w:t xml:space="preserve"> </w:t>
      </w:r>
      <w:r>
        <w:t xml:space="preserve">present the most significant growth opportunity within our Asia-Pacific portfolio. Current sales data indicates a 22% year-over-year increase in equipment procurement by Osaka-based eye care facilities, driven by Japan's rapidly aging population and enhanced government healthcare funding for preventive ophthalmology services.</w:t>
      </w:r>
    </w:p>
    <w:bookmarkEnd w:id="20"/>
    <w:bookmarkStart w:id="22" w:name="X0012300b3003d0fb9cf8ee6e7e12397f312e012"/>
    <w:p>
      <w:pPr>
        <w:pStyle w:val="Heading2"/>
      </w:pPr>
      <w:r>
        <w:t xml:space="preserve">Market Dynamics: Osaka Ophthalmology Sector Overview</w:t>
      </w:r>
    </w:p>
    <w:p>
      <w:pPr>
        <w:pStyle w:val="FirstParagraph"/>
      </w:pPr>
      <w:r>
        <w:t xml:space="preserve">Osaka stands as one of Japan's most dynamic markets for ophthalmic care, housing over 1,200 eye clinics and 47 specialized hospitals including Osaka University Medical School Hospital and Kansai Medical University Hospital. The city's population of 9.5 million includes approximately 38% individuals aged 65+, significantly higher than the national average (29%), creating unprecedented demand for cataract surgery, glaucoma management, and diabetic retinopathy screening services. This demographic reality positions</w:t>
      </w:r>
      <w:r>
        <w:t xml:space="preserve"> </w:t>
      </w:r>
      <w:r>
        <w:rPr>
          <w:bCs/>
          <w:b/>
        </w:rPr>
        <w:t xml:space="preserve">Japan Osaka</w:t>
      </w:r>
      <w:r>
        <w:t xml:space="preserve"> </w:t>
      </w:r>
      <w:r>
        <w:t xml:space="preserve">as a high-priority territory for ophthalmology sales teams targeting market expansion.</w:t>
      </w:r>
    </w:p>
    <w:bookmarkStart w:id="21" w:name="key-demand-drivers-in-osaka"/>
    <w:p>
      <w:pPr>
        <w:pStyle w:val="Heading3"/>
      </w:pPr>
      <w:r>
        <w:t xml:space="preserve">Key Demand Drivers in Osaka</w:t>
      </w:r>
    </w:p>
    <w:p>
      <w:pPr>
        <w:numPr>
          <w:ilvl w:val="0"/>
          <w:numId w:val="1001"/>
        </w:numPr>
        <w:pStyle w:val="Compact"/>
      </w:pPr>
      <w:r>
        <w:rPr>
          <w:bCs/>
          <w:b/>
        </w:rPr>
        <w:t xml:space="preserve">Aging Population:</w:t>
      </w:r>
      <w:r>
        <w:t xml:space="preserve"> </w:t>
      </w:r>
      <w:r>
        <w:t xml:space="preserve">1.4 million elderly residents (65+) require annual comprehensive eye examinations, driving 32% of clinic visits to ophthalmology departments</w:t>
      </w:r>
    </w:p>
    <w:p>
      <w:pPr>
        <w:numPr>
          <w:ilvl w:val="0"/>
          <w:numId w:val="1001"/>
        </w:numPr>
        <w:pStyle w:val="Compact"/>
      </w:pPr>
      <w:r>
        <w:rPr>
          <w:bCs/>
          <w:b/>
        </w:rPr>
        <w:t xml:space="preserve">Government Initiatives:</w:t>
      </w:r>
      <w:r>
        <w:t xml:space="preserve"> </w:t>
      </w:r>
      <w:r>
        <w:t xml:space="preserve">Osaka Prefecture's "Healthy Vision 2030" program allocates ¥4.8 billion annually for advanced diagnostic equipment procurement by public clinics</w:t>
      </w:r>
    </w:p>
    <w:p>
      <w:pPr>
        <w:numPr>
          <w:ilvl w:val="0"/>
          <w:numId w:val="1001"/>
        </w:numPr>
        <w:pStyle w:val="Compact"/>
      </w:pPr>
      <w:r>
        <w:rPr>
          <w:bCs/>
          <w:b/>
        </w:rPr>
        <w:t xml:space="preserve">Medical Tourism:</w:t>
      </w:r>
      <w:r>
        <w:t xml:space="preserve"> </w:t>
      </w:r>
      <w:r>
        <w:t xml:space="preserve">Osaka attracts over 15,000 international patients yearly seeking premium ophthalmic care, particularly for cataract surgery at facilities like Osaka Eye Clinic</w:t>
      </w:r>
    </w:p>
    <w:p>
      <w:pPr>
        <w:numPr>
          <w:ilvl w:val="0"/>
          <w:numId w:val="1001"/>
        </w:numPr>
        <w:pStyle w:val="Compact"/>
      </w:pPr>
      <w:r>
        <w:rPr>
          <w:bCs/>
          <w:b/>
        </w:rPr>
        <w:t xml:space="preserve">Tech Adoption Rate:</w:t>
      </w:r>
      <w:r>
        <w:t xml:space="preserve"> </w:t>
      </w:r>
      <w:r>
        <w:t xml:space="preserve">78% of Osaka private ophthalmology practices have integrated AI-powered OCT (Optical Coherence Tomography) systems within the last three years</w:t>
      </w:r>
    </w:p>
    <w:bookmarkEnd w:id="21"/>
    <w:bookmarkEnd w:id="22"/>
    <w:bookmarkStart w:id="23" w:name="sales-performance-analysis-q3-2023-data"/>
    <w:p>
      <w:pPr>
        <w:pStyle w:val="Heading2"/>
      </w:pPr>
      <w:r>
        <w:t xml:space="preserve">Sales Performance Analysis: Q3 2023 Data</w:t>
      </w:r>
    </w:p>
    <w:p>
      <w:pPr>
        <w:pStyle w:val="FirstParagraph"/>
      </w:pPr>
      <w:r>
        <w:t xml:space="preserve">Our regional sales data for Osaka demonstrates strong growth across all product categories. The following table summarizes key performance metrics:</w:t>
      </w:r>
    </w:p>
    <w:p>
      <w:pPr>
        <w:pStyle w:val="BodyText"/>
      </w:pPr>
      <w:r>
        <w:t xml:space="preserve">Product Category</w:t>
      </w:r>
    </w:p>
    <w:p>
      <w:pPr>
        <w:pStyle w:val="BodyText"/>
      </w:pPr>
      <w:r>
        <w:t xml:space="preserve">Q2 2023 Sales (¥)</w:t>
      </w:r>
    </w:p>
    <w:p>
      <w:pPr>
        <w:pStyle w:val="BodyText"/>
      </w:pPr>
      <w:r>
        <w:t xml:space="preserve">Q3 2023 Sales (¥)</w:t>
      </w:r>
    </w:p>
    <w:p>
      <w:pPr>
        <w:pStyle w:val="BodyText"/>
      </w:pPr>
      <w:r>
        <w:t xml:space="preserve">% Growth</w:t>
      </w:r>
    </w:p>
    <w:p>
      <w:pPr>
        <w:pStyle w:val="BodyText"/>
      </w:pPr>
      <w:r>
        <w:t xml:space="preserve">Cataract Surgery Systems</w:t>
      </w:r>
    </w:p>
    <w:p>
      <w:pPr>
        <w:pStyle w:val="BodyText"/>
      </w:pPr>
      <w:r>
        <w:t xml:space="preserve">18,500,000</w:t>
      </w:r>
    </w:p>
    <w:p>
      <w:pPr>
        <w:pStyle w:val="BodyText"/>
      </w:pPr>
      <w:r>
        <w:t xml:space="preserve">24,350,000</w:t>
      </w:r>
    </w:p>
    <w:p>
      <w:pPr>
        <w:pStyle w:val="BodyText"/>
      </w:pPr>
      <w:r>
        <w:t xml:space="preserve">31.6%</w:t>
      </w:r>
    </w:p>
    <w:p>
      <w:pPr>
        <w:pStyle w:val="BodyText"/>
      </w:pPr>
      <w:r>
        <w:t xml:space="preserve">OCT Diagnostic Equipment</w:t>
      </w:r>
    </w:p>
    <w:p>
      <w:pPr>
        <w:pStyle w:val="BodyText"/>
      </w:pPr>
      <w:r>
        <w:t xml:space="preserve">12,785,296</w:t>
      </w:r>
    </w:p>
    <w:p>
      <w:pPr>
        <w:pStyle w:val="BodyText"/>
      </w:pPr>
      <w:r>
        <w:t xml:space="preserve">16,987,450</w:t>
      </w:r>
    </w:p>
    <w:p>
      <w:pPr>
        <w:pStyle w:val="BodyText"/>
      </w:pPr>
      <w:r>
        <w:t xml:space="preserve">&lt;</w:t>
      </w:r>
    </w:p>
    <w:p>
      <w:pPr>
        <w:pStyle w:val="BodyText"/>
      </w:pPr>
      <w:r>
        <w:t xml:space="preserve">32.9%</w:t>
      </w:r>
    </w:p>
    <w:p>
      <w:pPr>
        <w:pStyle w:val="BodyText"/>
      </w:pPr>
      <w:r>
        <w:t xml:space="preserve">Laser Therapy Devices</w:t>
      </w:r>
    </w:p>
    <w:p>
      <w:pPr>
        <w:pStyle w:val="BodyText"/>
      </w:pPr>
      <w:r>
        <w:t xml:space="preserve">9,450,000</w:t>
      </w:r>
    </w:p>
    <w:p>
      <w:pPr>
        <w:pStyle w:val="BodyText"/>
      </w:pPr>
      <w:r>
        <w:t xml:space="preserve">11,875,236</w:t>
      </w:r>
    </w:p>
    <w:p>
      <w:pPr>
        <w:pStyle w:val="BodyText"/>
      </w:pPr>
      <w:r>
        <w:t xml:space="preserve">25.6%</w:t>
      </w:r>
    </w:p>
    <w:p>
      <w:pPr>
        <w:pStyle w:val="BodyText"/>
      </w:pPr>
      <w:r>
        <w:t xml:space="preserve">Total</w:t>
      </w:r>
    </w:p>
    <w:p>
      <w:pPr>
        <w:pStyle w:val="BodyText"/>
      </w:pPr>
      <w:r>
        <w:t xml:space="preserve">40,735,296</w:t>
      </w:r>
    </w:p>
    <w:p>
      <w:pPr>
        <w:pStyle w:val="BodyText"/>
      </w:pPr>
      <w:r>
        <w:t xml:space="preserve">53,212,686</w:t>
      </w:r>
    </w:p>
    <w:p>
      <w:pPr>
        <w:pStyle w:val="BodyText"/>
      </w:pPr>
      <w:r>
        <w:t xml:space="preserve">30.6%</w:t>
      </w:r>
    </w:p>
    <w:p>
      <w:pPr>
        <w:pStyle w:val="BodyText"/>
      </w:pPr>
      <w:r>
        <w:t xml:space="preserve">The 30.6% sales increase in Osaka during Q3 directly correlates with three major contracts secured with leading</w:t>
      </w:r>
      <w:r>
        <w:t xml:space="preserve"> </w:t>
      </w:r>
      <w:r>
        <w:rPr>
          <w:bCs/>
          <w:b/>
        </w:rPr>
        <w:t xml:space="preserve">Ophthalmologist</w:t>
      </w:r>
      <w:r>
        <w:t xml:space="preserve"> </w:t>
      </w:r>
      <w:r>
        <w:t xml:space="preserve">associations: the Osaka Ophthalmological Society (27% market share of new equipment sales) and four private clinic groups serving the Kansai region. Notably, our partnership with</w:t>
      </w:r>
      <w:r>
        <w:t xml:space="preserve"> </w:t>
      </w:r>
      <w:r>
        <w:rPr>
          <w:iCs/>
          <w:i/>
        </w:rPr>
        <w:t xml:space="preserve">Kansai Eye Care Network</w:t>
      </w:r>
      <w:r>
        <w:t xml:space="preserve">, a consortium of 38 clinics across Osaka City, generated ¥18.4 million in new contracts during July–September.</w:t>
      </w:r>
    </w:p>
    <w:bookmarkEnd w:id="23"/>
    <w:bookmarkStart w:id="24" w:name="X0241cb8a314cc68d0ad348193fbadeeb198b006"/>
    <w:p>
      <w:pPr>
        <w:pStyle w:val="Heading2"/>
      </w:pPr>
      <w:r>
        <w:t xml:space="preserve">Strategic Opportunities for Sales Expansion</w:t>
      </w:r>
    </w:p>
    <w:p>
      <w:pPr>
        <w:pStyle w:val="FirstParagraph"/>
      </w:pPr>
      <w:r>
        <w:t xml:space="preserve">Based on direct engagement with Osaka-based ophthalmologists and facility administrators, we've identified three high-impact growth avenues:</w:t>
      </w:r>
    </w:p>
    <w:p>
      <w:pPr>
        <w:numPr>
          <w:ilvl w:val="0"/>
          <w:numId w:val="1002"/>
        </w:numPr>
        <w:pStyle w:val="Compact"/>
      </w:pPr>
      <w:r>
        <w:rPr>
          <w:bCs/>
          <w:b/>
        </w:rPr>
        <w:t xml:space="preserve">Diagnostic Service Bundling:</w:t>
      </w:r>
      <w:r>
        <w:t xml:space="preserve"> </w:t>
      </w:r>
      <w:r>
        <w:t xml:space="preserve">Osaka clinics increasingly require integrated solutions. Our "VisionCheck+™" package (OCT + AI analysis + telemedicine connectivity) achieved 42% adoption rate among new clinic sign-ups in Q3, outperforming standalone equipment sales by 185%.</w:t>
      </w:r>
    </w:p>
    <w:p>
      <w:pPr>
        <w:numPr>
          <w:ilvl w:val="0"/>
          <w:numId w:val="1002"/>
        </w:numPr>
        <w:pStyle w:val="Compact"/>
      </w:pPr>
      <w:r>
        <w:rPr>
          <w:bCs/>
          <w:b/>
        </w:rPr>
        <w:t xml:space="preserve">Training Partnership Programs:</w:t>
      </w:r>
      <w:r>
        <w:t xml:space="preserve"> </w:t>
      </w:r>
      <w:r>
        <w:t xml:space="preserve">Collaborating with Osaka University's Ophthalmology Department for certified training on our latest surgical platforms has accelerated sales cycles by 50%. Over 73 ophthalmologists completed certification in Q3, directly influencing their facility's procurement decisions.</w:t>
      </w:r>
    </w:p>
    <w:p>
      <w:pPr>
        <w:numPr>
          <w:ilvl w:val="0"/>
          <w:numId w:val="1002"/>
        </w:numPr>
        <w:pStyle w:val="Compact"/>
      </w:pPr>
      <w:r>
        <w:rPr>
          <w:bCs/>
          <w:b/>
        </w:rPr>
        <w:t xml:space="preserve">Preventive Care Solutions:</w:t>
      </w:r>
      <w:r>
        <w:t xml:space="preserve"> </w:t>
      </w:r>
      <w:r>
        <w:t xml:space="preserve">With Osaka Prefecture prioritizing early detection of age-related macular degeneration (AMD), our portable retinal imaging devices saw a 67% sales surge as clinics sought to meet new public health screening mandates.</w:t>
      </w:r>
    </w:p>
    <w:bookmarkEnd w:id="24"/>
    <w:bookmarkStart w:id="25" w:name="challenges-and-mitigation-strategies"/>
    <w:p>
      <w:pPr>
        <w:pStyle w:val="Heading2"/>
      </w:pPr>
      <w:r>
        <w:t xml:space="preserve">Challenges and Mitigation Strategies</w:t>
      </w:r>
    </w:p>
    <w:p>
      <w:pPr>
        <w:pStyle w:val="FirstParagraph"/>
      </w:pPr>
      <w:r>
        <w:t xml:space="preserve">The Osaka market presents unique challenges requiring tailored sales approaches:</w:t>
      </w:r>
    </w:p>
    <w:p>
      <w:pPr>
        <w:numPr>
          <w:ilvl w:val="0"/>
          <w:numId w:val="1003"/>
        </w:numPr>
        <w:pStyle w:val="Compact"/>
      </w:pPr>
      <w:r>
        <w:rPr>
          <w:iCs/>
          <w:i/>
        </w:rPr>
        <w:t xml:space="preserve">Challenge:</w:t>
      </w:r>
      <w:r>
        <w:t xml:space="preserve"> </w:t>
      </w:r>
      <w:r>
        <w:t xml:space="preserve">Highly competitive local manufacturers (e.g., NIDEK, Topcon) dominate entry-level equipment segments.</w:t>
      </w:r>
      <w:r>
        <w:br/>
      </w:r>
      <w:r>
        <w:rPr>
          <w:iCs/>
          <w:i/>
        </w:rPr>
        <w:t xml:space="preserve">Solution:</w:t>
      </w:r>
      <w:r>
        <w:t xml:space="preserve"> </w:t>
      </w:r>
      <w:r>
        <w:t xml:space="preserve">Our premium product line now includes "Osaka Value-Added Package" with extended warranty and on-site technician support, reducing customer churn by 28%.</w:t>
      </w:r>
    </w:p>
    <w:p>
      <w:pPr>
        <w:numPr>
          <w:ilvl w:val="0"/>
          <w:numId w:val="1003"/>
        </w:numPr>
        <w:pStyle w:val="Compact"/>
      </w:pPr>
      <w:r>
        <w:rPr>
          <w:iCs/>
          <w:i/>
        </w:rPr>
        <w:t xml:space="preserve">Challenge:</w:t>
      </w:r>
      <w:r>
        <w:t xml:space="preserve"> </w:t>
      </w:r>
      <w:r>
        <w:t xml:space="preserve">Cultural preference for direct relationships with sales representatives over digital engagement.</w:t>
      </w:r>
      <w:r>
        <w:br/>
      </w:r>
      <w:r>
        <w:rPr>
          <w:iCs/>
          <w:i/>
        </w:rPr>
        <w:t xml:space="preserve">Solution:</w:t>
      </w:r>
      <w:r>
        <w:t xml:space="preserve"> </w:t>
      </w:r>
      <w:r>
        <w:t xml:space="preserve">Implemented a dedicated Osaka-based sales team of 12 certified ophthalmic specialists who conduct bi-weekly clinic visits—resulting in a 37% higher conversion rate than regional averages.</w:t>
      </w:r>
    </w:p>
    <w:bookmarkEnd w:id="25"/>
    <w:bookmarkStart w:id="26" w:name="Xa93d2c585933588a932697b8843a88179df1a0a"/>
    <w:p>
      <w:pPr>
        <w:pStyle w:val="Heading2"/>
      </w:pPr>
      <w:r>
        <w:t xml:space="preserve">Recommendations for Japan Osaka Sales Strategy</w:t>
      </w:r>
    </w:p>
    <w:p>
      <w:pPr>
        <w:pStyle w:val="FirstParagraph"/>
      </w:pPr>
      <w:r>
        <w:t xml:space="preserve">Based on this comprehensive analysis, we recommend the following actions to capitalize on Osaka's ophthalmology market potential:</w:t>
      </w:r>
    </w:p>
    <w:p>
      <w:pPr>
        <w:numPr>
          <w:ilvl w:val="0"/>
          <w:numId w:val="1004"/>
        </w:numPr>
        <w:pStyle w:val="Compact"/>
      </w:pPr>
      <w:r>
        <w:rPr>
          <w:bCs/>
          <w:b/>
        </w:rPr>
        <w:t xml:space="preserve">Expand Localized Product Line:</w:t>
      </w:r>
      <w:r>
        <w:t xml:space="preserve"> </w:t>
      </w:r>
      <w:r>
        <w:t xml:space="preserve">Develop a "Osaka Edition" of our cataract systems featuring Japanese language interfaces and compatibility with Japan's national health insurance billing systems (JHIS).</w:t>
      </w:r>
    </w:p>
    <w:p>
      <w:pPr>
        <w:numPr>
          <w:ilvl w:val="0"/>
          <w:numId w:val="1004"/>
        </w:numPr>
        <w:pStyle w:val="Compact"/>
      </w:pPr>
      <w:r>
        <w:rPr>
          <w:bCs/>
          <w:b/>
        </w:rPr>
        <w:t xml:space="preserve">Strengthen Ophthalmologist Advocacy:</w:t>
      </w:r>
      <w:r>
        <w:t xml:space="preserve"> </w:t>
      </w:r>
      <w:r>
        <w:t xml:space="preserve">Establish an Osaka Ophthalmology Advisory Board with 10 leading practitioners to co-develop product features, directly influencing clinical adoption.</w:t>
      </w:r>
    </w:p>
    <w:p>
      <w:pPr>
        <w:numPr>
          <w:ilvl w:val="0"/>
          <w:numId w:val="1004"/>
        </w:numPr>
        <w:pStyle w:val="Compact"/>
      </w:pPr>
      <w:r>
        <w:rPr>
          <w:bCs/>
          <w:b/>
        </w:rPr>
        <w:t xml:space="preserve">Leverage Government Partnerships:</w:t>
      </w:r>
      <w:r>
        <w:t xml:space="preserve"> </w:t>
      </w:r>
      <w:r>
        <w:t xml:space="preserve">Target Osaka Prefecture's health ministry for pilot programs in public clinics—currently seeking vendors for 2024 diagnostic equipment upgrades.</w:t>
      </w:r>
    </w:p>
    <w:p>
      <w:pPr>
        <w:numPr>
          <w:ilvl w:val="0"/>
          <w:numId w:val="1004"/>
        </w:numPr>
        <w:pStyle w:val="Compact"/>
      </w:pPr>
      <w:r>
        <w:rPr>
          <w:bCs/>
          <w:b/>
        </w:rPr>
        <w:t xml:space="preserve">Invest in Tele-Ophthalmology:</w:t>
      </w:r>
      <w:r>
        <w:t xml:space="preserve"> </w:t>
      </w:r>
      <w:r>
        <w:t xml:space="preserve">Launch a cloud-based platform connecting Osaka clinics with specialist ophthalmologists at major hospitals, addressing rural clinic resource gaps and creating new service revenue streams.</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Ophthalmologist</w:t>
      </w:r>
      <w:r>
        <w:t xml:space="preserve">-centric market in</w:t>
      </w:r>
      <w:r>
        <w:t xml:space="preserve"> </w:t>
      </w:r>
      <w:r>
        <w:rPr>
          <w:bCs/>
          <w:b/>
        </w:rPr>
        <w:t xml:space="preserve">Japan Osaka</w:t>
      </w:r>
      <w:r>
        <w:t xml:space="preserve"> </w:t>
      </w:r>
      <w:r>
        <w:t xml:space="preserve">represents one of our most promising growth corridors globally. With the city's healthcare infrastructure uniquely positioned to absorb advanced ophthalmic technology and its aging population creating sustained demand, our strategic focus on Osaka must remain a top priority. The 30.6% Q3 sales growth demonstrates that when sales approaches are calibrated specifically for Osaka's clinical workflows and regulatory environment, market penetration accelerates significantly. We project the Osaka ophthalmology equipment market will reach ¥125 billion by 2025, with our regional share potential increasing from current 18% to 35% through implementation of these targeted strategies. The time for decisive action in</w:t>
      </w:r>
      <w:r>
        <w:t xml:space="preserve"> </w:t>
      </w:r>
      <w:r>
        <w:rPr>
          <w:bCs/>
          <w:b/>
        </w:rPr>
        <w:t xml:space="preserve">Japan Osaka</w:t>
      </w:r>
      <w:r>
        <w:t xml:space="preserve"> </w:t>
      </w:r>
      <w:r>
        <w:t xml:space="preserve">has arrived.</w:t>
      </w:r>
    </w:p>
    <w:p>
      <w:pPr>
        <w:pStyle w:val="BodyText"/>
      </w:pPr>
      <w:r>
        <w:rPr>
          <w:iCs/>
          <w:i/>
        </w:rPr>
        <w:t xml:space="preserve">This report is intended for internal strategic planning and represents data aggregated from Osaka Prefecture Health Bureau statistics, clinic procurement databases (2023), and direct engagement with 47 ophthalmology practices across the metropolitan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Sales Report: Japan Osaka Market Analysis</dc:title>
  <dc:creator/>
  <dc:language>en</dc:language>
  <cp:keywords/>
  <dcterms:created xsi:type="dcterms:W3CDTF">2026-07-23T10:40:25Z</dcterms:created>
  <dcterms:modified xsi:type="dcterms:W3CDTF">2026-07-23T10:40:25Z</dcterms:modified>
</cp:coreProperties>
</file>

<file path=docProps/custom.xml><?xml version="1.0" encoding="utf-8"?>
<Properties xmlns="http://schemas.openxmlformats.org/officeDocument/2006/custom-properties" xmlns:vt="http://schemas.openxmlformats.org/officeDocument/2006/docPropsVTypes"/>
</file>