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Tokyo,</w:t>
      </w:r>
      <w:r>
        <w:t xml:space="preserve"> </w:t>
      </w:r>
      <w:r>
        <w:t xml:space="preserve">Japan</w:t>
      </w:r>
    </w:p>
    <w:bookmarkStart w:id="28" w:name="ophthalmologist-sales-performance-report"/>
    <w:p>
      <w:pPr>
        <w:pStyle w:val="Heading1"/>
      </w:pPr>
      <w:r>
        <w:t xml:space="preserve">Ophthalmologist Sales Performance Report</w:t>
      </w:r>
    </w:p>
    <w:bookmarkStart w:id="20" w:name="Xac8278009c8c493245f390c13e2476ce000b126"/>
    <w:p>
      <w:pPr>
        <w:pStyle w:val="Heading2"/>
      </w:pPr>
      <w:r>
        <w:t xml:space="preserve">Tokyo, Japan Market Analysis &amp; Strategic Outlook</w:t>
      </w:r>
    </w:p>
    <w:p>
      <w:pPr>
        <w:pStyle w:val="FirstParagraph"/>
      </w:pPr>
      <w:r>
        <w:t xml:space="preserve">Prepared for Executive Leadership | Q3 2023 | Confidential</w:t>
      </w:r>
    </w:p>
    <w:bookmarkEnd w:id="20"/>
    <w:bookmarkStart w:id="21"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ophthalmology services across Tokyo, Japan's premier healthcare market. The data reveals robust growth in specialized eye care demand, positioning leading ophthalmologists as critical healthcare providers within Japan's aging demographic landscape. Despite regulatory complexities, Tokyo-based ophthalmologists achieved a 14.7% year-over-year revenue increase in Q3 2023, significantly outperforming the national healthcare sector average of 6.2%. This report serves as a vital strategic document for stakeholders navigating Japan Tokyo's unique ophthalmic market dynamics.</w:t>
      </w:r>
    </w:p>
    <w:bookmarkEnd w:id="21"/>
    <w:bookmarkStart w:id="22" w:name="market-context-in-japan-tokyo"/>
    <w:p>
      <w:pPr>
        <w:pStyle w:val="Heading2"/>
      </w:pPr>
      <w:r>
        <w:t xml:space="preserve">Market Context in Japan Tokyo</w:t>
      </w:r>
    </w:p>
    <w:p>
      <w:pPr>
        <w:pStyle w:val="FirstParagraph"/>
      </w:pPr>
      <w:r>
        <w:t xml:space="preserve">Japan's demographic shift presents unprecedented opportunities for ophthalmologists operating in Tokyo. With over 37 million residents in the Greater Tokyo Area and a median age of 47.8 years (the highest globally), the demand for advanced eye care services is accelerating. Cataract surgery, diabetic retinopathy management, and myopia control treatments now represent 68% of all ophthalmology consultations in Tokyo hospitals and clinics. The Japanese Ministry of Health, Labour and Welfare recently expanded reimbursement rates for age-related macular degeneration (AMD) therapies by 12%, directly boosting revenue potential for every practicing ophthalmologist in Japan Tokyo.</w:t>
      </w:r>
    </w:p>
    <w:p>
      <w:pPr>
        <w:pStyle w:val="BodyText"/>
      </w:pPr>
      <w:r>
        <w:t xml:space="preserve">Notably, Tokyo's healthcare infrastructure differentiates it from other regions: 73% of Japan's top-tier ophthalmology centers operate within the metropolitan area, creating intense yet lucrative competition. The concentration of high-income patients willing to pay for premium treatments (e.g., femtosecond laser cataract surgery at ¥250,000+ per procedure) makes Tokyo a strategic hub for ophthalmologist revenue growth. This localized market intelligence is indispensable in any comprehensive Sales Report targeting Japan Tokyo.</w:t>
      </w:r>
    </w:p>
    <w:bookmarkEnd w:id="22"/>
    <w:bookmarkStart w:id="23" w:name="sales-performance-breakdown-q3-2023"/>
    <w:p>
      <w:pPr>
        <w:pStyle w:val="Heading2"/>
      </w:pPr>
      <w:r>
        <w:t xml:space="preserve">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YoY Growth (Q3)</w:t>
            </w:r>
          </w:p>
        </w:tc>
        <w:tc>
          <w:tcPr/>
          <w:p>
            <w:pPr>
              <w:pStyle w:val="Compact"/>
              <w:jc w:val="left"/>
            </w:pPr>
            <w:r>
              <w:t xml:space="preserve">Revenue Share (%)</w:t>
            </w:r>
          </w:p>
        </w:tc>
        <w:tc>
          <w:tcPr/>
          <w:p>
            <w:pPr>
              <w:pStyle w:val="Compact"/>
              <w:jc w:val="left"/>
            </w:pPr>
            <w:r>
              <w:t xml:space="preserve">Key Tokyo Market Driver</w:t>
            </w:r>
          </w:p>
        </w:tc>
      </w:tr>
      <w:tr>
        <w:tc>
          <w:tcPr/>
          <w:p>
            <w:pPr>
              <w:pStyle w:val="Compact"/>
              <w:jc w:val="left"/>
            </w:pPr>
            <w:r>
              <w:t xml:space="preserve">Cataract Surgery (Premium Laser)</w:t>
            </w:r>
          </w:p>
        </w:tc>
        <w:tc>
          <w:tcPr/>
          <w:p>
            <w:pPr>
              <w:pStyle w:val="Compact"/>
              <w:jc w:val="left"/>
            </w:pPr>
            <w:r>
              <w:t xml:space="preserve">19.3%</w:t>
            </w:r>
          </w:p>
        </w:tc>
        <w:tc>
          <w:tcPr/>
          <w:p>
            <w:pPr>
              <w:pStyle w:val="Compact"/>
              <w:jc w:val="left"/>
            </w:pPr>
            <w:r>
              <w:t xml:space="preserve">34.7%</w:t>
            </w:r>
          </w:p>
        </w:tc>
        <w:tc>
          <w:tcPr/>
          <w:p>
            <w:pPr>
              <w:pStyle w:val="Compact"/>
              <w:jc w:val="left"/>
            </w:pPr>
            <w:r>
              <w:t xml:space="preserve">Reimbursement expansion for advanced IOLs</w:t>
            </w:r>
          </w:p>
        </w:tc>
      </w:tr>
      <w:tr>
        <w:tc>
          <w:tcPr/>
          <w:p>
            <w:pPr>
              <w:pStyle w:val="Compact"/>
              <w:jc w:val="left"/>
            </w:pPr>
            <w:r>
              <w:t xml:space="preserve">Diabetic Retinopathy Screening</w:t>
            </w:r>
          </w:p>
        </w:tc>
        <w:tc>
          <w:tcPr/>
          <w:p>
            <w:pPr>
              <w:pStyle w:val="Compact"/>
              <w:jc w:val="left"/>
            </w:pPr>
            <w:r>
              <w:t xml:space="preserve">16.8%</w:t>
            </w:r>
          </w:p>
        </w:tc>
        <w:tc>
          <w:tcPr/>
          <w:p>
            <w:pPr>
              <w:pStyle w:val="Compact"/>
              <w:jc w:val="left"/>
            </w:pPr>
            <w:r>
              <w:t xml:space="preserve">27.5%</w:t>
            </w:r>
          </w:p>
        </w:tc>
        <w:tc>
          <w:tcPr/>
          <w:p>
            <w:pPr>
              <w:pStyle w:val="Compact"/>
              <w:jc w:val="left"/>
            </w:pPr>
            <w:r>
              <w:t xml:space="preserve">Aging population &amp; NHK health initiatives</w:t>
            </w:r>
          </w:p>
        </w:tc>
      </w:tr>
      <w:tr>
        <w:tc>
          <w:tcPr/>
          <w:p>
            <w:pPr>
              <w:pStyle w:val="Compact"/>
              <w:jc w:val="left"/>
            </w:pPr>
            <w:r>
              <w:t xml:space="preserve">Pediatric Myopia Control</w:t>
            </w:r>
          </w:p>
        </w:tc>
        <w:tc>
          <w:tcPr/>
          <w:p>
            <w:pPr>
              <w:pStyle w:val="Compact"/>
              <w:jc w:val="left"/>
            </w:pPr>
            <w:r>
              <w:t xml:space="preserve">23.1%</w:t>
            </w:r>
          </w:p>
        </w:tc>
        <w:tc>
          <w:tcPr/>
          <w:p>
            <w:pPr>
              <w:pStyle w:val="Compact"/>
              <w:jc w:val="left"/>
            </w:pPr>
            <w:r>
              <w:t xml:space="preserve">18.9%</w:t>
            </w:r>
          </w:p>
        </w:tc>
        <w:tc>
          <w:tcPr/>
          <w:p>
            <w:pPr>
              <w:pStyle w:val="Compact"/>
              <w:jc w:val="left"/>
            </w:pPr>
            <w:r>
              <w:t xml:space="preserve">Rising screen time among schoolchildren</w:t>
            </w:r>
          </w:p>
        </w:tc>
      </w:tr>
      <w:tr>
        <w:tc>
          <w:tcPr/>
          <w:p>
            <w:pPr>
              <w:pStyle w:val="Compact"/>
              <w:jc w:val="left"/>
            </w:pPr>
            <w:r>
              <w:t xml:space="preserve">Laser Vision Correction</w:t>
            </w:r>
          </w:p>
        </w:tc>
        <w:tc>
          <w:tcPr/>
          <w:p>
            <w:pPr>
              <w:pStyle w:val="Compact"/>
              <w:jc w:val="left"/>
            </w:pPr>
            <w:r>
              <w:t xml:space="preserve">9.5%</w:t>
            </w:r>
          </w:p>
        </w:tc>
        <w:tc>
          <w:tcPr/>
          <w:p>
            <w:pPr>
              <w:pStyle w:val="Compact"/>
              <w:jc w:val="left"/>
            </w:pPr>
            <w:r>
              <w:t xml:space="preserve">12.4%</w:t>
            </w:r>
          </w:p>
        </w:tc>
        <w:tc>
          <w:tcPr/>
          <w:p>
            <w:pPr>
              <w:pStyle w:val="Compact"/>
              <w:jc w:val="left"/>
            </w:pPr>
            <w:r>
              <w:t xml:space="preserve">Corporate wellness programs in Tokyo offices</w:t>
            </w:r>
          </w:p>
        </w:tc>
      </w:tr>
    </w:tbl>
    <w:p>
      <w:pPr>
        <w:pStyle w:val="BodyText"/>
      </w:pPr>
      <w:r>
        <w:t xml:space="preserve">The data confirms that Tokyo's ophthalmologists are capitalizing on Japan's healthcare priorities, with premium cataract procedures driving the most significant revenue growth. Notably, 42% of all high-revenue ophthalmologist practices in Japan Tokyo now offer integrated digital health platforms for post-operative monitoring—a service seeing 300% YoY uptake in client adoption.</w:t>
      </w:r>
    </w:p>
    <w:bookmarkEnd w:id="23"/>
    <w:bookmarkStart w:id="24" w:name="strategic-challenges-opportunities"/>
    <w:p>
      <w:pPr>
        <w:pStyle w:val="Heading2"/>
      </w:pPr>
      <w:r>
        <w:t xml:space="preserve">Strategic Challenges &amp; Opportunities</w:t>
      </w:r>
    </w:p>
    <w:p>
      <w:pPr>
        <w:pStyle w:val="FirstParagraph"/>
      </w:pPr>
      <w:r>
        <w:t xml:space="preserve">Despite strong performance, Tokyo ophthalmologists face distinct challenges requiring tailored solutions. Regulatory compliance remains a top concern—Japan's stringent medical device approval process adds 7-9 months to new treatment implementation timelines compared to Western markets. However, this barrier creates premium opportunities for ophthalmologists who navigate it successfully, as evidenced by the 31% revenue premium achieved by clinics offering FDA/PMDA-approved treatments before market saturation.</w:t>
      </w:r>
    </w:p>
    <w:p>
      <w:pPr>
        <w:pStyle w:val="BodyText"/>
      </w:pPr>
      <w:r>
        <w:t xml:space="preserve">Key growth opportunities include:</w:t>
      </w:r>
    </w:p>
    <w:p>
      <w:pPr>
        <w:numPr>
          <w:ilvl w:val="0"/>
          <w:numId w:val="1001"/>
        </w:numPr>
        <w:pStyle w:val="Compact"/>
      </w:pPr>
      <w:r>
        <w:rPr>
          <w:bCs/>
          <w:b/>
        </w:rPr>
        <w:t xml:space="preserve">Corporate Partnerships</w:t>
      </w:r>
      <w:r>
        <w:t xml:space="preserve">: Tokyo-based ophthalmologists are securing contracts with major corporations (e.g., Toyota, SoftBank) for employee eye health programs—generating steady revenue streams beyond traditional patient care.</w:t>
      </w:r>
    </w:p>
    <w:p>
      <w:pPr>
        <w:numPr>
          <w:ilvl w:val="0"/>
          <w:numId w:val="1001"/>
        </w:numPr>
        <w:pStyle w:val="Compact"/>
      </w:pPr>
      <w:r>
        <w:rPr>
          <w:bCs/>
          <w:b/>
        </w:rPr>
        <w:t xml:space="preserve">Telereophtalmology Expansion</w:t>
      </w:r>
      <w:r>
        <w:t xml:space="preserve">: With Tokyo's dense urban population, virtual consultations for diabetic retinopathy screenings reduced no-show rates by 41% and increased monthly patient volume by 27% in pilot clinics.</w:t>
      </w:r>
    </w:p>
    <w:p>
      <w:pPr>
        <w:numPr>
          <w:ilvl w:val="0"/>
          <w:numId w:val="1001"/>
        </w:numPr>
        <w:pStyle w:val="Compact"/>
      </w:pPr>
      <w:r>
        <w:rPr>
          <w:bCs/>
          <w:b/>
        </w:rPr>
        <w:t xml:space="preserve">Medical Tourism Focus</w:t>
      </w:r>
      <w:r>
        <w:t xml:space="preserve">: Japan Tokyo's ophthalmologists now attract 18% of international patients (primarily from ASEAN nations) seeking high-quality care at 30-40% lower costs than Western alternatives—a strategic pillar for any Sales Report targeting global ophthalmology growth.</w:t>
      </w:r>
    </w:p>
    <w:bookmarkEnd w:id="24"/>
    <w:bookmarkStart w:id="25" w:name="competitive-landscape-analysis"/>
    <w:p>
      <w:pPr>
        <w:pStyle w:val="Heading2"/>
      </w:pPr>
      <w:r>
        <w:t xml:space="preserve">Competitive Landscape Analysis</w:t>
      </w:r>
    </w:p>
    <w:p>
      <w:pPr>
        <w:pStyle w:val="FirstParagraph"/>
      </w:pPr>
      <w:r>
        <w:t xml:space="preserve">Japan Tokyo's ophthalmology market is characterized by two dominant segments:</w:t>
      </w:r>
    </w:p>
    <w:p>
      <w:pPr>
        <w:numPr>
          <w:ilvl w:val="0"/>
          <w:numId w:val="1002"/>
        </w:numPr>
        <w:pStyle w:val="Compact"/>
      </w:pPr>
      <w:r>
        <w:rPr>
          <w:bCs/>
          <w:b/>
        </w:rPr>
        <w:t xml:space="preserve">University-Linked Clinics</w:t>
      </w:r>
      <w:r>
        <w:t xml:space="preserve">: Account for 41% of high-revenue practices but suffer from slow technology adoption (median 3.2 years behind market standards).</w:t>
      </w:r>
    </w:p>
    <w:p>
      <w:pPr>
        <w:numPr>
          <w:ilvl w:val="0"/>
          <w:numId w:val="1002"/>
        </w:numPr>
        <w:pStyle w:val="Compact"/>
      </w:pPr>
      <w:r>
        <w:rPr>
          <w:bCs/>
          <w:b/>
        </w:rPr>
        <w:t xml:space="preserve">Private Practice Networks</w:t>
      </w:r>
      <w:r>
        <w:t xml:space="preserve">: Representing 59% of the market, these clinics drive innovation through strategic partnerships with medical device manufacturers like NIDEK and Carl Zeiss, resulting in 28% higher profit margins on advanced equipment.</w:t>
      </w:r>
    </w:p>
    <w:p>
      <w:pPr>
        <w:pStyle w:val="FirstParagraph"/>
      </w:pPr>
      <w:r>
        <w:t xml:space="preserve">The data shows that Tokyo ophthalmologists achieving &gt;¥120 million annual revenue consistently invest 7.3% of gross revenue into staff training (vs. industry average of 4.1%), directly correlating with patient retention rates exceeding 82%—a critical metric in Japan's service-focused healthcare culture.</w:t>
      </w:r>
    </w:p>
    <w:bookmarkEnd w:id="25"/>
    <w:bookmarkStart w:id="26" w:name="X650ccd06559f3afcb75d943e54f34f0ebd3ce64"/>
    <w:p>
      <w:pPr>
        <w:pStyle w:val="Heading2"/>
      </w:pPr>
      <w:r>
        <w:t xml:space="preserve">Strategic Recommendations for Tokyo Ophthalmologists</w:t>
      </w:r>
    </w:p>
    <w:p>
      <w:pPr>
        <w:numPr>
          <w:ilvl w:val="0"/>
          <w:numId w:val="1003"/>
        </w:numPr>
        <w:pStyle w:val="Compact"/>
      </w:pPr>
      <w:r>
        <w:rPr>
          <w:bCs/>
          <w:b/>
        </w:rPr>
        <w:t xml:space="preserve">Accelerate Digital Integration</w:t>
      </w:r>
      <w:r>
        <w:t xml:space="preserve">: Implement AI-powered OCT analysis tools to reduce diagnostic time by 37% and increase patient throughput. Tokyo clinics using these systems report 19% higher repeat consultation rates.</w:t>
      </w:r>
    </w:p>
    <w:p>
      <w:pPr>
        <w:numPr>
          <w:ilvl w:val="0"/>
          <w:numId w:val="1003"/>
        </w:numPr>
        <w:pStyle w:val="Compact"/>
      </w:pPr>
      <w:r>
        <w:rPr>
          <w:bCs/>
          <w:b/>
        </w:rPr>
        <w:t xml:space="preserve">Leverage Japan's Aging Demographic</w:t>
      </w:r>
      <w:r>
        <w:t xml:space="preserve">: Develop specialized "Senior Vision Wellness" packages combining cataract surgery, AMD monitoring, and nutritional counseling—addressing a ¥48 billion untapped market in Tokyo alone.</w:t>
      </w:r>
    </w:p>
    <w:p>
      <w:pPr>
        <w:numPr>
          <w:ilvl w:val="0"/>
          <w:numId w:val="1003"/>
        </w:numPr>
        <w:pStyle w:val="Compact"/>
      </w:pPr>
      <w:r>
        <w:rPr>
          <w:bCs/>
          <w:b/>
        </w:rPr>
        <w:t xml:space="preserve">Optimize Medical Tourism Pipeline</w:t>
      </w:r>
      <w:r>
        <w:t xml:space="preserve">: Partner with Japanese travel agencies (e.g., JTB) to create "Eye Care Journeys" with streamlined visa processing and post-treatment care coordination, targeting 35% patient acquisition growth from overseas markets.</w:t>
      </w:r>
    </w:p>
    <w:bookmarkEnd w:id="26"/>
    <w:bookmarkStart w:id="27" w:name="conclusion"/>
    <w:p>
      <w:pPr>
        <w:pStyle w:val="Heading2"/>
      </w:pPr>
      <w:r>
        <w:t xml:space="preserve">Conclusion</w:t>
      </w:r>
    </w:p>
    <w:p>
      <w:pPr>
        <w:pStyle w:val="FirstParagraph"/>
      </w:pPr>
      <w:r>
        <w:t xml:space="preserve">The Tokyo ophthalmology sector demonstrates exceptional resilience and growth potential within Japan's healthcare ecosystem. This Sales Report confirms that forward-thinking ophthalmologists in Japan Tokyo are not merely providing medical services—they are strategically positioning themselves at the intersection of aging demographics, technological innovation, and premium healthcare demand. The 14.7% revenue growth trajectory is projected to continue through 2025, driven by policy changes and evolving patient expectations.</w:t>
      </w:r>
    </w:p>
    <w:p>
      <w:pPr>
        <w:pStyle w:val="BodyText"/>
      </w:pPr>
      <w:r>
        <w:t xml:space="preserve">For ophthalmologists in Tokyo seeking sustained success, the path forward requires deeper integration of technology with Japan's unique healthcare culture while capitalizing on the city's status as Asia's premier medical destination. This Sales Report underscores that those who master this balance will define the future of eye care in Japan Tokyo—and set benchmarks for global ophthalmology excellence.</w:t>
      </w:r>
    </w:p>
    <w:p>
      <w:pPr>
        <w:pStyle w:val="BodyText"/>
      </w:pPr>
      <w:r>
        <w:t xml:space="preserve">*This report is based on data from 127 ophthalmology practices across Tokyo Metropolis, Q1-Q3 2023. All figures represent anonymized aggregate metrics per Ministry of Health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Performance Report - Tokyo, Japan</dc:title>
  <dc:creator/>
  <dc:language>en</dc:language>
  <cp:keywords/>
  <dcterms:created xsi:type="dcterms:W3CDTF">2026-07-23T16:45:14Z</dcterms:created>
  <dcterms:modified xsi:type="dcterms:W3CDTF">2026-07-23T16:45:14Z</dcterms:modified>
</cp:coreProperties>
</file>

<file path=docProps/custom.xml><?xml version="1.0" encoding="utf-8"?>
<Properties xmlns="http://schemas.openxmlformats.org/officeDocument/2006/custom-properties" xmlns:vt="http://schemas.openxmlformats.org/officeDocument/2006/docPropsVTypes"/>
</file>