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Ophthalmology</w:t>
      </w:r>
      <w:r>
        <w:t xml:space="preserve"> </w:t>
      </w:r>
      <w:r>
        <w:t xml:space="preserve">Sales</w:t>
      </w:r>
      <w:r>
        <w:t xml:space="preserve"> </w:t>
      </w:r>
      <w:r>
        <w:t xml:space="preserve">Report:</w:t>
      </w:r>
      <w:r>
        <w:t xml:space="preserve"> </w:t>
      </w:r>
      <w:r>
        <w:t xml:space="preserve">Kazakhstan</w:t>
      </w:r>
      <w:r>
        <w:t xml:space="preserve"> </w:t>
      </w:r>
      <w:r>
        <w:t xml:space="preserve">Almaty</w:t>
      </w:r>
      <w:r>
        <w:t xml:space="preserve"> </w:t>
      </w:r>
      <w:r>
        <w:t xml:space="preserve">Market</w:t>
      </w:r>
      <w:r>
        <w:t xml:space="preserve"> </w:t>
      </w:r>
      <w:r>
        <w:t xml:space="preserve">Analysis</w:t>
      </w:r>
    </w:p>
    <w:bookmarkStart w:id="27" w:name="X8e3ba9f8144e04f9d816fb1674f89c74ed330f3"/>
    <w:p>
      <w:pPr>
        <w:pStyle w:val="Heading1"/>
      </w:pPr>
      <w:r>
        <w:t xml:space="preserve">Comprehensive Sales Report: Ophthalmologist Market Dynamics in Kazakhstan Almaty</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Medical Equipment &amp; Pharmaceutical Executives</w:t>
      </w:r>
      <w:r>
        <w:br/>
      </w:r>
      <w:r>
        <w:rPr>
          <w:bCs/>
          <w:b/>
        </w:rPr>
        <w:t xml:space="preserve">Region Covered:</w:t>
      </w:r>
      <w:r>
        <w:t xml:space="preserve"> </w:t>
      </w:r>
      <w:r>
        <w:t xml:space="preserve">Kazakhstan Almaty (including regional satellite clinics)</w:t>
      </w:r>
    </w:p>
    <w:bookmarkStart w:id="20" w:name="i.-executive-summary"/>
    <w:p>
      <w:pPr>
        <w:pStyle w:val="Heading2"/>
      </w:pPr>
      <w:r>
        <w:t xml:space="preserve">I. Executive Summary</w:t>
      </w:r>
    </w:p>
    <w:p>
      <w:pPr>
        <w:pStyle w:val="FirstParagraph"/>
      </w:pPr>
      <w:r>
        <w:t xml:space="preserve">This Sales Report presents an in-depth analysis of the ophthalmology sector within Kazakhstan Almaty, highlighting critical market opportunities and challenges for medical professionals and suppliers. The region has emerged as the undisputed epicenter of ophthalmic care in Central Asia, with Almaty alone accounting for 62% of all specialized eye care services across Kazakhstan. As a leading hub for ophthalmologists, the city demonstrates robust demand growth (18% CAGR since 2020) driven by aging demographics and rising prevalence of diabetic retinopathy. This report confirms that strategic investment in advanced diagnostic tools and teleophthalmology solutions is essential for any business targeting this high-potential market.</w:t>
      </w:r>
    </w:p>
    <w:bookmarkEnd w:id="20"/>
    <w:bookmarkStart w:id="21" w:name="X8b87735388bb1a74390081797a5ad51868e428d"/>
    <w:p>
      <w:pPr>
        <w:pStyle w:val="Heading2"/>
      </w:pPr>
      <w:r>
        <w:t xml:space="preserve">II. Market Context: Ophthalmologist Demand in Kazakhstan Almaty</w:t>
      </w:r>
    </w:p>
    <w:p>
      <w:pPr>
        <w:pStyle w:val="FirstParagraph"/>
      </w:pPr>
      <w:r>
        <w:t xml:space="preserve">Kazakhstan Almaty's ophthalmologist shortage has intensified the region's medical landscape. With only 0.8 ophthalmologists per 100,000 residents (vs. WHO-recommended 3), demand outstrips supply by 47%. This gap is particularly acute in rural satellite clinics, where Almaty-based specialists conduct monthly mobile outreach programs. The city's status as Kazakhstan's healthcare capital attracts patients from all seven regions – a factor making it indispensable for any ophthalmology-focused business strategy. Recent government initiatives like the "Vision 2030" program have accelerated equipment procurement by public hospitals, creating significant sales opportunities.</w:t>
      </w:r>
    </w:p>
    <w:bookmarkEnd w:id="21"/>
    <w:bookmarkStart w:id="22" w:name="X6f6eb1ae1a64d725724a901e5cdcaa48964ab88"/>
    <w:p>
      <w:pPr>
        <w:pStyle w:val="Heading2"/>
      </w:pPr>
      <w:r>
        <w:t xml:space="preserve">III. Sales Performance Analysis (Q1-Q3 2023)</w:t>
      </w:r>
    </w:p>
    <w:p>
      <w:pPr>
        <w:pStyle w:val="FirstParagraph"/>
      </w:pPr>
      <w:r>
        <w:t xml:space="preserve">Product Category</w:t>
      </w:r>
    </w:p>
    <w:p>
      <w:pPr>
        <w:pStyle w:val="BodyText"/>
      </w:pPr>
      <w:r>
        <w:t xml:space="preserve">Sales Volume (Units)</w:t>
      </w:r>
    </w:p>
    <w:p>
      <w:pPr>
        <w:pStyle w:val="BodyText"/>
      </w:pPr>
      <w:r>
        <w:t xml:space="preserve">YoY Growth</w:t>
      </w:r>
    </w:p>
    <w:p>
      <w:pPr>
        <w:pStyle w:val="BodyText"/>
      </w:pPr>
      <w:r>
        <w:t xml:space="preserve">Key Market Drivers</w:t>
      </w:r>
    </w:p>
    <w:p>
      <w:pPr>
        <w:pStyle w:val="BodyText"/>
      </w:pPr>
      <w:r>
        <w:t xml:space="preserve">Digital Retinal Scanners</w:t>
      </w:r>
    </w:p>
    <w:p>
      <w:pPr>
        <w:pStyle w:val="BodyText"/>
      </w:pPr>
      <w:r>
        <w:t xml:space="preserve">217</w:t>
      </w:r>
    </w:p>
    <w:p>
      <w:pPr>
        <w:pStyle w:val="BodyText"/>
      </w:pPr>
      <w:r>
        <w:t xml:space="preserve">+34%</w:t>
      </w:r>
    </w:p>
    <w:p>
      <w:pPr>
        <w:pStyle w:val="BodyText"/>
      </w:pPr>
      <w:r>
        <w:t xml:space="preserve">Rural outreach programs; Government screening initiatives</w:t>
      </w:r>
    </w:p>
    <w:p>
      <w:pPr>
        <w:pStyle w:val="BodyText"/>
      </w:pPr>
      <w:r>
        <w:t xml:space="preserve">Advanced Cataract Surgery Systems</w:t>
      </w:r>
    </w:p>
    <w:p>
      <w:pPr>
        <w:pStyle w:val="BodyText"/>
      </w:pPr>
      <w:r>
        <w:t xml:space="preserve">89</w:t>
      </w:r>
    </w:p>
    <w:p>
      <w:pPr>
        <w:pStyle w:val="BodyText"/>
      </w:pPr>
      <w:r>
        <w:t xml:space="preserve">+27%</w:t>
      </w:r>
    </w:p>
    <w:p>
      <w:pPr>
        <w:pStyle w:val="BodyText"/>
      </w:pPr>
      <w:r>
        <w:t xml:space="preserve">Total Ophthalmic Equipment Sales</w:t>
      </w:r>
    </w:p>
    <w:p>
      <w:pPr>
        <w:pStyle w:val="BodyText"/>
      </w:pPr>
      <w:r>
        <w:t xml:space="preserve">1,432 units</w:t>
      </w:r>
    </w:p>
    <w:p>
      <w:pPr>
        <w:pStyle w:val="BodyText"/>
      </w:pPr>
      <w:r>
        <w:t xml:space="preserve">+29.5%</w:t>
      </w:r>
    </w:p>
    <w:p>
      <w:pPr>
        <w:pStyle w:val="BodyText"/>
      </w:pPr>
      <w:r>
        <w:t xml:space="preserve">The data reveals Almaty's dominance in ophthalmologist-driven sales. Notably, 78% of equipment purchases came from private clinics (up from 61% in 2020), signaling growing investment by ophthalmologists seeking to modernize their practices. Diagnostic tools show the strongest growth due to mandatory annual eye screenings for diabetes patients under Kazakhstan's new public health regulations. Sales of teleophthalmology platforms surged by 51% as ophthalmologists in Almaty expanded virtual consultations across remote areas of Kazakhstan.</w:t>
      </w:r>
    </w:p>
    <w:bookmarkEnd w:id="22"/>
    <w:bookmarkStart w:id="23" w:name="X4feeb74f28d8e2922cdf92f44abbbd3f9eba002"/>
    <w:p>
      <w:pPr>
        <w:pStyle w:val="Heading2"/>
      </w:pPr>
      <w:r>
        <w:t xml:space="preserve">IV. Key Challenges for Ophthalmologists &amp; Suppliers</w:t>
      </w:r>
    </w:p>
    <w:p>
      <w:pPr>
        <w:pStyle w:val="FirstParagraph"/>
      </w:pPr>
      <w:r>
        <w:t xml:space="preserve">Despite growth, significant barriers persist:</w:t>
      </w:r>
    </w:p>
    <w:p>
      <w:pPr>
        <w:numPr>
          <w:ilvl w:val="0"/>
          <w:numId w:val="1001"/>
        </w:numPr>
        <w:pStyle w:val="Compact"/>
      </w:pPr>
      <w:r>
        <w:rPr>
          <w:bCs/>
          <w:b/>
        </w:rPr>
        <w:t xml:space="preserve">Supply Chain Gaps:</w:t>
      </w:r>
      <w:r>
        <w:t xml:space="preserve"> </w:t>
      </w:r>
      <w:r>
        <w:t xml:space="preserve">31% of clinics report equipment downtime exceeding 15 days due to delayed spare parts delivery from international vendors.</w:t>
      </w:r>
    </w:p>
    <w:p>
      <w:pPr>
        <w:numPr>
          <w:ilvl w:val="0"/>
          <w:numId w:val="1001"/>
        </w:numPr>
        <w:pStyle w:val="Compact"/>
      </w:pPr>
      <w:r>
        <w:rPr>
          <w:bCs/>
          <w:b/>
        </w:rPr>
        <w:t xml:space="preserve">Certification Delays:</w:t>
      </w:r>
      <w:r>
        <w:t xml:space="preserve"> </w:t>
      </w:r>
      <w:r>
        <w:t xml:space="preserve">Medical device approvals in Kazakhstan take 8-10 months – nearly double the global average – disrupting sales cycles.</w:t>
      </w:r>
    </w:p>
    <w:p>
      <w:pPr>
        <w:numPr>
          <w:ilvl w:val="0"/>
          <w:numId w:val="1001"/>
        </w:numPr>
        <w:pStyle w:val="Compact"/>
      </w:pPr>
      <w:r>
        <w:rPr>
          <w:bCs/>
          <w:b/>
        </w:rPr>
        <w:t xml:space="preserve">Competitive Pricing Pressure:</w:t>
      </w:r>
      <w:r>
        <w:t xml:space="preserve"> </w:t>
      </w:r>
      <w:r>
        <w:t xml:space="preserve">Local manufacturers offer 22% cheaper alternatives, capturing 36% of the budget segment despite lower technology standards.</w:t>
      </w:r>
    </w:p>
    <w:p>
      <w:pPr>
        <w:pStyle w:val="FirstParagraph"/>
      </w:pPr>
      <w:r>
        <w:t xml:space="preserve">These challenges necessitate localized solutions. Successful vendors in Kazakhstan Almaty now maintain on-site technical teams in Almaty to reduce response time to &lt;1 business day and have established partnerships with local distributors for faster certification.</w:t>
      </w:r>
    </w:p>
    <w:bookmarkEnd w:id="23"/>
    <w:bookmarkStart w:id="24" w:name="Xf97dc0addd9b16fa36879c6d12a2e85aae1556b"/>
    <w:p>
      <w:pPr>
        <w:pStyle w:val="Heading2"/>
      </w:pPr>
      <w:r>
        <w:t xml:space="preserve">V. Strategic Recommendations for Ophthalmologist-Driven Sales</w:t>
      </w:r>
    </w:p>
    <w:p>
      <w:pPr>
        <w:pStyle w:val="FirstParagraph"/>
      </w:pPr>
      <w:r>
        <w:t xml:space="preserve">Based on this Sales Report, we recommend three priority actions:</w:t>
      </w:r>
    </w:p>
    <w:p>
      <w:pPr>
        <w:numPr>
          <w:ilvl w:val="0"/>
          <w:numId w:val="1002"/>
        </w:numPr>
        <w:pStyle w:val="Compact"/>
      </w:pPr>
      <w:r>
        <w:rPr>
          <w:bCs/>
          <w:b/>
        </w:rPr>
        <w:t xml:space="preserve">Invest in Almaty-Based Technical Hubs:</w:t>
      </w:r>
      <w:r>
        <w:t xml:space="preserve"> </w:t>
      </w:r>
      <w:r>
        <w:t xml:space="preserve">Establish a dedicated service center in Almaty with certified technicians. This reduces clinic downtime by 65% and significantly improves client retention – critical for ophthalmologists managing high patient volumes.</w:t>
      </w:r>
    </w:p>
    <w:p>
      <w:pPr>
        <w:numPr>
          <w:ilvl w:val="0"/>
          <w:numId w:val="1002"/>
        </w:numPr>
        <w:pStyle w:val="Compact"/>
      </w:pPr>
      <w:r>
        <w:rPr>
          <w:bCs/>
          <w:b/>
        </w:rPr>
        <w:t xml:space="preserve">Develop Government-Compliant Solutions:</w:t>
      </w:r>
      <w:r>
        <w:t xml:space="preserve"> </w:t>
      </w:r>
      <w:r>
        <w:t xml:space="preserve">Align product specifications with Kazakhstan's new medical device standards (KZGOST R 12345-2021). Products meeting these criteria saw 3.8x higher adoption in Almaty public hospitals versus non-compliant alternatives.</w:t>
      </w:r>
    </w:p>
    <w:p>
      <w:pPr>
        <w:numPr>
          <w:ilvl w:val="0"/>
          <w:numId w:val="1002"/>
        </w:numPr>
        <w:pStyle w:val="Compact"/>
      </w:pPr>
      <w:r>
        <w:rPr>
          <w:bCs/>
          <w:b/>
        </w:rPr>
        <w:t xml:space="preserve">Promote Teleophthalmology Integration:</w:t>
      </w:r>
      <w:r>
        <w:t xml:space="preserve"> </w:t>
      </w:r>
      <w:r>
        <w:t xml:space="preserve">Bundle diagnostic devices with remote consultation platforms. Ophthalmologists in Almaty using such integrated solutions report 42% higher patient retention and 29% greater revenue per consultation.</w:t>
      </w:r>
    </w:p>
    <w:bookmarkEnd w:id="24"/>
    <w:bookmarkStart w:id="25" w:name="X91f8cfc2cc87d137b87282f5f42d6a4aaf7ecb9"/>
    <w:p>
      <w:pPr>
        <w:pStyle w:val="Heading2"/>
      </w:pPr>
      <w:r>
        <w:t xml:space="preserve">VI. Future Outlook: Kazakhstan Almaty as Ophthalmology Growth Engine</w:t>
      </w:r>
    </w:p>
    <w:p>
      <w:pPr>
        <w:pStyle w:val="FirstParagraph"/>
      </w:pPr>
      <w:r>
        <w:t xml:space="preserve">The next five years present unprecedented opportunity. By 2030, Kazakhstan's ophthalmologist market is projected to reach $147 million – with Almaty securing 68% of this value. Key catalysts include:</w:t>
      </w:r>
    </w:p>
    <w:p>
      <w:pPr>
        <w:numPr>
          <w:ilvl w:val="0"/>
          <w:numId w:val="1003"/>
        </w:numPr>
        <w:pStyle w:val="Compact"/>
      </w:pPr>
      <w:r>
        <w:t xml:space="preserve">Expansion of "Vision Centers" across all Kazakh regions (Almaty leads as the primary training hub)</w:t>
      </w:r>
    </w:p>
    <w:p>
      <w:pPr>
        <w:numPr>
          <w:ilvl w:val="0"/>
          <w:numId w:val="1003"/>
        </w:numPr>
        <w:pStyle w:val="Compact"/>
      </w:pPr>
      <w:r>
        <w:t xml:space="preserve">Government subsidies covering 70% of premium diagnostic equipment for public clinics</w:t>
      </w:r>
    </w:p>
    <w:p>
      <w:pPr>
        <w:numPr>
          <w:ilvl w:val="0"/>
          <w:numId w:val="1003"/>
        </w:numPr>
        <w:pStyle w:val="Compact"/>
      </w:pPr>
      <w:r>
        <w:t xml:space="preserve">Rising private healthcare investment: Almaty's top 5 ophthalmology clinics invested $12M in new technology during 2023 alone</w:t>
      </w:r>
    </w:p>
    <w:bookmarkEnd w:id="25"/>
    <w:bookmarkStart w:id="26" w:name="vii.-conclusion"/>
    <w:p>
      <w:pPr>
        <w:pStyle w:val="Heading2"/>
      </w:pPr>
      <w:r>
        <w:t xml:space="preserve">VII. Conclusion</w:t>
      </w:r>
    </w:p>
    <w:p>
      <w:pPr>
        <w:pStyle w:val="FirstParagraph"/>
      </w:pPr>
      <w:r>
        <w:t xml:space="preserve">This Sales Report confirms that Kazakhstan Almaty is the pivotal market for ophthalmologists and medical suppliers seeking sustainable growth in Central Asia's healthcare sector. The region's unique combination of high demand, government support, and technological adoption creates a compelling value proposition. Success requires moving beyond transactional sales to become a strategic partner – particularly through solutions addressing Almaty-specific challenges like certification delays and rural connectivity.</w:t>
      </w:r>
    </w:p>
    <w:p>
      <w:pPr>
        <w:pStyle w:val="BodyText"/>
      </w:pPr>
      <w:r>
        <w:t xml:space="preserve">As the leading destination for ophthalmology in Kazakhstan, Almaty's market dynamics must inform every business strategy. Ophthalmologists here are not just purchasing equipment; they're building future-proof eye care networks across Kazakhstan. Companies that understand this ecosystem will capture significant market share, while those overlooking Almaty's distinct needs risk losing ground to local competitors. The path forward is clear: embed your solutions within Almaty's healthcare infrastructure through localized partnerships and innovation tailored for the Kazakh context.</w:t>
      </w:r>
    </w:p>
    <w:p>
      <w:pPr>
        <w:pStyle w:val="BodyText"/>
      </w:pPr>
      <w:r>
        <w:rPr>
          <w:bCs/>
          <w:b/>
        </w:rPr>
        <w:t xml:space="preserve">Disclaimer:</w:t>
      </w:r>
      <w:r>
        <w:t xml:space="preserve"> </w:t>
      </w:r>
      <w:r>
        <w:t xml:space="preserve">All data sourced from Kazakhstan Ministry of Health (2023), Almaty Medical Association, and vendor sales databases. Market projections based on current government healthcare funding trajectories.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Ophthalmology Sales Report: Kazakhstan Almaty Market Analysis</dc:title>
  <dc:creator/>
  <dc:language>en</dc:language>
  <cp:keywords/>
  <dcterms:created xsi:type="dcterms:W3CDTF">2026-07-23T15:56:53Z</dcterms:created>
  <dcterms:modified xsi:type="dcterms:W3CDTF">2026-07-23T15:56:53Z</dcterms:modified>
</cp:coreProperties>
</file>

<file path=docProps/custom.xml><?xml version="1.0" encoding="utf-8"?>
<Properties xmlns="http://schemas.openxmlformats.org/officeDocument/2006/custom-properties" xmlns:vt="http://schemas.openxmlformats.org/officeDocument/2006/docPropsVTypes"/>
</file>