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Sales</w:t>
      </w:r>
      <w:r>
        <w:t xml:space="preserve"> </w:t>
      </w:r>
      <w:r>
        <w:t xml:space="preserve">Report</w:t>
      </w:r>
      <w:r>
        <w:t xml:space="preserve"> </w:t>
      </w:r>
      <w:r>
        <w:t xml:space="preserve">-</w:t>
      </w:r>
      <w:r>
        <w:t xml:space="preserve"> </w:t>
      </w:r>
      <w:r>
        <w:t xml:space="preserve">Kuwait</w:t>
      </w:r>
      <w:r>
        <w:t xml:space="preserve"> </w:t>
      </w:r>
      <w:r>
        <w:t xml:space="preserve">City</w:t>
      </w:r>
      <w:r>
        <w:t xml:space="preserve"> </w:t>
      </w:r>
      <w:r>
        <w:t xml:space="preserve">Market</w:t>
      </w:r>
      <w:r>
        <w:t xml:space="preserve"> </w:t>
      </w:r>
      <w:r>
        <w:t xml:space="preserve">Analysis</w:t>
      </w:r>
    </w:p>
    <w:bookmarkStart w:id="29" w:name="X936035d89eddf29f7d1976774d9db1133309880"/>
    <w:p>
      <w:pPr>
        <w:pStyle w:val="Heading1"/>
      </w:pPr>
      <w:r>
        <w:t xml:space="preserve">Comprehensive Ophthalmologist Sales Performance Report: Kuwait City Market 2023-2024</w:t>
      </w:r>
    </w:p>
    <w:bookmarkStart w:id="20" w:name="executive-summary"/>
    <w:p>
      <w:pPr>
        <w:pStyle w:val="Heading2"/>
      </w:pPr>
      <w:r>
        <w:t xml:space="preserve">Executive Summary</w:t>
      </w:r>
    </w:p>
    <w:p>
      <w:pPr>
        <w:pStyle w:val="FirstParagraph"/>
      </w:pPr>
      <w:r>
        <w:t xml:space="preserve">This definitive Sales Report analyzes the performance of ophthalmology services within Kuwait City, highlighting critical growth opportunities and market dynamics for medical practices. As a leading specialist in eye care, our Ophthalmologist team has achieved remarkable milestones in Kuwait City through strategic service expansion and patient-centric approaches. This document presents verified data demonstrating how our practice has become a benchmark in ophthalmic care delivery across Kuwait City's healthcare landscape.</w:t>
      </w:r>
    </w:p>
    <w:bookmarkEnd w:id="20"/>
    <w:bookmarkStart w:id="21" w:name="Xb1952a291f5e789c6fb8f994641c38e589cecea"/>
    <w:p>
      <w:pPr>
        <w:pStyle w:val="Heading2"/>
      </w:pPr>
      <w:r>
        <w:t xml:space="preserve">Market Context: Ophthalmology Demand in Kuwait City</w:t>
      </w:r>
    </w:p>
    <w:p>
      <w:pPr>
        <w:pStyle w:val="FirstParagraph"/>
      </w:pPr>
      <w:r>
        <w:t xml:space="preserve">Kuwait City represents the epicenter of specialized medical services in Kuwait, with over 1.5 million residents and a rapidly aging population requiring advanced ophthalmic care. According to the Ministry of Health's 2023 Healthcare Report, eye disorders affect nearly 35% of Kuwaiti citizens aged 40+, creating an urgent market need for qualified Ophthalmologists. The Kuwait City market shows a compound annual growth rate (CAGR) of 8.7% in ophthalmology services – significantly outpacing national healthcare averages. This Sales Report confirms that our clinic has captured 22% of the premium ophthalmology segment in Kuwait City through targeted service innovation.</w:t>
      </w:r>
    </w:p>
    <w:bookmarkEnd w:id="21"/>
    <w:bookmarkStart w:id="22" w:name="performance-metrics-quantifiable-success"/>
    <w:p>
      <w:pPr>
        <w:pStyle w:val="Heading2"/>
      </w:pPr>
      <w:r>
        <w:t xml:space="preserve">Performance Metrics: Quantifiable Success</w:t>
      </w:r>
    </w:p>
    <w:p>
      <w:pPr>
        <w:pStyle w:val="FirstParagraph"/>
      </w:pPr>
      <w:r>
        <w:t xml:space="preserve">Our Q1-Q4 2023 performance demonstrates exceptional business growth. Key metrics include:</w:t>
      </w:r>
    </w:p>
    <w:p>
      <w:pPr>
        <w:numPr>
          <w:ilvl w:val="0"/>
          <w:numId w:val="1001"/>
        </w:numPr>
        <w:pStyle w:val="Compact"/>
      </w:pPr>
      <w:r>
        <w:rPr>
          <w:bCs/>
          <w:b/>
        </w:rPr>
        <w:t xml:space="preserve">Patient Volume:</w:t>
      </w:r>
      <w:r>
        <w:t xml:space="preserve"> </w:t>
      </w:r>
      <w:r>
        <w:t xml:space="preserve">18,750 consultations (+34% YoY), with 68% originating from Kuwait City's urban core</w:t>
      </w:r>
    </w:p>
    <w:p>
      <w:pPr>
        <w:numPr>
          <w:ilvl w:val="0"/>
          <w:numId w:val="1001"/>
        </w:numPr>
        <w:pStyle w:val="Compact"/>
      </w:pPr>
      <w:r>
        <w:rPr>
          <w:bCs/>
          <w:b/>
        </w:rPr>
        <w:t xml:space="preserve">Procedural Revenue:</w:t>
      </w:r>
      <w:r>
        <w:t xml:space="preserve"> </w:t>
      </w:r>
      <w:r>
        <w:t xml:space="preserve">$2.1M from cataract surgeries (42%), LASIK (31%), and diabetic retinopathy treatments (27%)</w:t>
      </w:r>
    </w:p>
    <w:p>
      <w:pPr>
        <w:numPr>
          <w:ilvl w:val="0"/>
          <w:numId w:val="1001"/>
        </w:numPr>
        <w:pStyle w:val="Compact"/>
      </w:pPr>
      <w:r>
        <w:rPr>
          <w:bCs/>
          <w:b/>
        </w:rPr>
        <w:t xml:space="preserve">Patient Retention Rate:</w:t>
      </w:r>
      <w:r>
        <w:t xml:space="preserve"> </w:t>
      </w:r>
      <w:r>
        <w:t xml:space="preserve">89% in Kuwait City, exceeding the national average of 68%</w:t>
      </w:r>
    </w:p>
    <w:p>
      <w:pPr>
        <w:numPr>
          <w:ilvl w:val="0"/>
          <w:numId w:val="1001"/>
        </w:numPr>
        <w:pStyle w:val="Compact"/>
      </w:pPr>
      <w:r>
        <w:rPr>
          <w:bCs/>
          <w:b/>
        </w:rPr>
        <w:t xml:space="preserve">Revenue Per Patient:</w:t>
      </w:r>
      <w:r>
        <w:t xml:space="preserve"> </w:t>
      </w:r>
      <w:r>
        <w:t xml:space="preserve">$125.30 (vs. industry standard $98.70)</w:t>
      </w:r>
    </w:p>
    <w:p>
      <w:pPr>
        <w:pStyle w:val="FirstParagraph"/>
      </w:pPr>
      <w:r>
        <w:t xml:space="preserve">This performance directly correlates with our strategic positioning as a premier Ophthalmologist practice in Kuwait City. The sales growth stems from our specialized mobile eye-care units servicing remote communities in Greater Kuwait City, significantly expanding access beyond downtown clinics.</w:t>
      </w:r>
    </w:p>
    <w:bookmarkEnd w:id="22"/>
    <w:bookmarkStart w:id="23" w:name="competitive-positioning-analysis"/>
    <w:p>
      <w:pPr>
        <w:pStyle w:val="Heading2"/>
      </w:pPr>
      <w:r>
        <w:t xml:space="preserve">Competitive Positioning Analysis</w:t>
      </w:r>
    </w:p>
    <w:p>
      <w:pPr>
        <w:pStyle w:val="FirstParagraph"/>
      </w:pPr>
      <w:r>
        <w:t xml:space="preserve">A comprehensive market analysis reveals why our Sales Report shows superior performance. While 14 clinics operate in Kuwait City, only 3 offer the full spectrum of services we provide (from pediatric eye care to advanced retinal surgery). Our competitive advantages include: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Competitor Factor</w:t>
            </w:r>
          </w:p>
        </w:tc>
        <w:tc>
          <w:tcPr/>
          <w:p>
            <w:pPr>
              <w:pStyle w:val="Compact"/>
              <w:jc w:val="left"/>
            </w:pPr>
            <w:r>
              <w:t xml:space="preserve">Our Clinic (Kuwait City)</w:t>
            </w:r>
          </w:p>
        </w:tc>
        <w:tc>
          <w:tcPr/>
          <w:p>
            <w:pPr>
              <w:pStyle w:val="Compact"/>
              <w:jc w:val="left"/>
            </w:pPr>
            <w:r>
              <w:t xml:space="preserve">Average Competitor</w:t>
            </w:r>
          </w:p>
        </w:tc>
      </w:tr>
      <w:tr>
        <w:tc>
          <w:tcPr/>
          <w:p>
            <w:pPr>
              <w:pStyle w:val="Compact"/>
              <w:jc w:val="left"/>
            </w:pPr>
            <w:r>
              <w:t xml:space="preserve">Technological Adoption</w:t>
            </w:r>
          </w:p>
        </w:tc>
        <w:tc>
          <w:tcPr/>
          <w:p>
            <w:pPr>
              <w:pStyle w:val="Compact"/>
              <w:jc w:val="left"/>
            </w:pPr>
            <w:r>
              <w:t xml:space="preserve">98% (AI diagnostics, OCT scanning)</w:t>
            </w:r>
          </w:p>
        </w:tc>
        <w:tc>
          <w:tcPr/>
          <w:p>
            <w:pPr>
              <w:pStyle w:val="Compact"/>
              <w:jc w:val="left"/>
            </w:pPr>
            <w:r>
              <w:t xml:space="preserve">62%</w:t>
            </w:r>
          </w:p>
        </w:tc>
      </w:tr>
      <w:tr>
        <w:tc>
          <w:tcPr/>
          <w:p>
            <w:pPr>
              <w:pStyle w:val="Compact"/>
              <w:jc w:val="left"/>
            </w:pPr>
            <w:r>
              <w:t xml:space="preserve">Patient Wait Time</w:t>
            </w:r>
          </w:p>
        </w:tc>
        <w:tc>
          <w:tcPr/>
          <w:p>
            <w:pPr>
              <w:pStyle w:val="Compact"/>
              <w:jc w:val="left"/>
            </w:pPr>
            <w:r>
              <w:t xml:space="preserve">72 hours (average)</w:t>
            </w:r>
          </w:p>
        </w:tc>
        <w:tc>
          <w:tcPr/>
          <w:p>
            <w:pPr>
              <w:pStyle w:val="Compact"/>
              <w:jc w:val="left"/>
            </w:pPr>
            <w:r>
              <w:t xml:space="preserve">143 hours</w:t>
            </w:r>
          </w:p>
        </w:tc>
      </w:tr>
      <w:tr>
        <w:tc>
          <w:tcPr/>
          <w:p>
            <w:pPr>
              <w:pStyle w:val="Compact"/>
              <w:jc w:val="left"/>
            </w:pPr>
            <w:r>
              <w:t xml:space="preserve">Specialist Availability</w:t>
            </w:r>
          </w:p>
        </w:tc>
        <w:tc>
          <w:tcPr/>
          <w:p>
            <w:pPr>
              <w:pStyle w:val="Compact"/>
              <w:jc w:val="left"/>
            </w:pPr>
            <w:r>
              <w:t xml:space="preserve">24/7 emergency Ophthalmologist coverage</w:t>
            </w:r>
          </w:p>
        </w:tc>
        <w:tc>
          <w:tcPr/>
          <w:p>
            <w:pPr>
              <w:pStyle w:val="Compact"/>
              <w:jc w:val="left"/>
            </w:pPr>
            <w:r>
              <w:t xml:space="preserve">Limited weekend services</w:t>
            </w:r>
          </w:p>
        </w:tc>
      </w:tr>
    </w:tbl>
    <w:p>
      <w:pPr>
        <w:pStyle w:val="BodyText"/>
      </w:pPr>
      <w:r>
        <w:t xml:space="preserve">This data confirms that our Ophthalmologist practice delivers superior operational efficiency, directly translating to enhanced patient acquisition and retention in Kuwait City.</w:t>
      </w:r>
    </w:p>
    <w:bookmarkEnd w:id="23"/>
    <w:bookmarkStart w:id="24" w:name="X5bea46b734f0d463bf8e6791ce7253b3732dd5d"/>
    <w:p>
      <w:pPr>
        <w:pStyle w:val="Heading2"/>
      </w:pPr>
      <w:r>
        <w:t xml:space="preserve">Strategic Initiatives Driving Sales Growth</w:t>
      </w:r>
    </w:p>
    <w:p>
      <w:pPr>
        <w:pStyle w:val="FirstParagraph"/>
      </w:pPr>
      <w:r>
        <w:t xml:space="preserve">Our 2023 sales strategy centered on three pillars that resonate with Kuwait City's unique healthcare demands:</w:t>
      </w:r>
    </w:p>
    <w:p>
      <w:pPr>
        <w:numPr>
          <w:ilvl w:val="0"/>
          <w:numId w:val="1002"/>
        </w:numPr>
        <w:pStyle w:val="Compact"/>
      </w:pPr>
      <w:r>
        <w:rPr>
          <w:bCs/>
          <w:b/>
        </w:rPr>
        <w:t xml:space="preserve">Cultural Sensitivity Integration:</w:t>
      </w:r>
      <w:r>
        <w:t xml:space="preserve"> </w:t>
      </w:r>
      <w:r>
        <w:t xml:space="preserve">Collaborating with Kuwait City's Ministry of Health to develop Arabic-language digital health platforms, increasing patient trust and service uptake by 41% among local families.</w:t>
      </w:r>
    </w:p>
    <w:p>
      <w:pPr>
        <w:numPr>
          <w:ilvl w:val="0"/>
          <w:numId w:val="1002"/>
        </w:numPr>
        <w:pStyle w:val="Compact"/>
      </w:pPr>
      <w:r>
        <w:rPr>
          <w:bCs/>
          <w:b/>
        </w:rPr>
        <w:t xml:space="preserve">Corporate Partnership Program:</w:t>
      </w:r>
      <w:r>
        <w:t xml:space="preserve"> </w:t>
      </w:r>
      <w:r>
        <w:t xml:space="preserve">Securing contracts with 27 major Kuwait City employers (including Gulf Oil and Kuwait Airways), generating $580K in annual revenue from comprehensive vision screenings.</w:t>
      </w:r>
    </w:p>
    <w:bookmarkEnd w:id="24"/>
    <w:bookmarkStart w:id="25" w:name="kuwait-city-specific-market-insights"/>
    <w:p>
      <w:pPr>
        <w:pStyle w:val="Heading2"/>
      </w:pPr>
      <w:r>
        <w:t xml:space="preserve">Kuwait City-Specific Market Insights</w:t>
      </w:r>
    </w:p>
    <w:p>
      <w:pPr>
        <w:pStyle w:val="FirstParagraph"/>
      </w:pPr>
      <w:r>
        <w:t xml:space="preserve">Our Sales Report identifies critical Kuwait City trends requiring tailored responses:</w:t>
      </w:r>
    </w:p>
    <w:p>
      <w:pPr>
        <w:numPr>
          <w:ilvl w:val="0"/>
          <w:numId w:val="1003"/>
        </w:numPr>
        <w:pStyle w:val="Compact"/>
      </w:pPr>
      <w:r>
        <w:rPr>
          <w:bCs/>
          <w:b/>
        </w:rPr>
        <w:t xml:space="preserve">Diabetic Retinopathy Surge:</w:t>
      </w:r>
      <w:r>
        <w:t xml:space="preserve"> </w:t>
      </w:r>
      <w:r>
        <w:t xml:space="preserve">47% of new consultations involve diabetes-related eye complications – necessitating our specialized Ophthalmologist team's focus on integrated diabetic care pathways.</w:t>
      </w:r>
    </w:p>
    <w:p>
      <w:pPr>
        <w:numPr>
          <w:ilvl w:val="0"/>
          <w:numId w:val="1003"/>
        </w:numPr>
        <w:pStyle w:val="Compact"/>
      </w:pPr>
      <w:r>
        <w:rPr>
          <w:bCs/>
          <w:b/>
        </w:rPr>
        <w:t xml:space="preserve">Military &amp; Diplomatic Demand:</w:t>
      </w:r>
      <w:r>
        <w:t xml:space="preserve"> </w:t>
      </w:r>
      <w:r>
        <w:t xml:space="preserve">31% of premium cases come from military bases and embassies in Kuwait City, requiring confidential service protocols now embedded in our practice model.</w:t>
      </w:r>
    </w:p>
    <w:p>
      <w:pPr>
        <w:numPr>
          <w:ilvl w:val="0"/>
          <w:numId w:val="1003"/>
        </w:numPr>
        <w:pStyle w:val="Compact"/>
      </w:pPr>
      <w:r>
        <w:rPr>
          <w:bCs/>
          <w:b/>
        </w:rPr>
        <w:t xml:space="preserve">Insurance Reimbursement Shifts:</w:t>
      </w:r>
      <w:r>
        <w:t xml:space="preserve"> </w:t>
      </w:r>
      <w:r>
        <w:t xml:space="preserve">Recent changes by Kuwait Insurance Authority now cover 85% of cataract procedures (up from 63%), driving a 29% increase in surgical volume within Kuwait City.</w:t>
      </w:r>
    </w:p>
    <w:bookmarkEnd w:id="25"/>
    <w:bookmarkStart w:id="26" w:name="financial-performance-breakdown"/>
    <w:p>
      <w:pPr>
        <w:pStyle w:val="Heading2"/>
      </w:pPr>
      <w:r>
        <w:t xml:space="preserve">Financial Performance Breakdown</w:t>
      </w:r>
    </w:p>
    <w:p>
      <w:pPr>
        <w:pStyle w:val="FirstParagraph"/>
      </w:pPr>
      <w:r>
        <w:t xml:space="preserve">Revenue streams demonstrating our Ophthalmologist practice's financial strength in Kuwait City:</w:t>
      </w:r>
    </w:p>
    <w:p>
      <w:pPr>
        <w:pStyle w:val="BodyText"/>
      </w:pPr>
      <w:r>
        <w:t xml:space="preserve">Service Category</w:t>
      </w:r>
    </w:p>
    <w:p>
      <w:pPr>
        <w:pStyle w:val="BodyText"/>
      </w:pPr>
      <w:r>
        <w:t xml:space="preserve">% of Total Revenue</w:t>
      </w:r>
    </w:p>
    <w:p>
      <w:pPr>
        <w:pStyle w:val="BodyText"/>
      </w:pPr>
      <w:r>
        <w:t xml:space="preserve">Growth vs 2022</w:t>
      </w:r>
    </w:p>
    <w:p>
      <w:pPr>
        <w:pStyle w:val="BodyText"/>
      </w:pPr>
      <w:r>
        <w:t xml:space="preserve">Cataract Surgeries (Phacoemulsification)</w:t>
      </w:r>
    </w:p>
    <w:p>
      <w:pPr>
        <w:pStyle w:val="BodyText"/>
      </w:pPr>
      <w:r>
        <w:t xml:space="preserve">42%</w:t>
      </w:r>
    </w:p>
    <w:p>
      <w:pPr>
        <w:pStyle w:val="BodyText"/>
      </w:pPr>
      <w:r>
        <w:t xml:space="preserve">+38.7%</w:t>
      </w:r>
    </w:p>
    <w:p>
      <w:pPr>
        <w:pStyle w:val="BodyText"/>
      </w:pPr>
      <w:r>
        <w:t xml:space="preserve">LASIK &amp; PRK Procedures</w:t>
      </w:r>
    </w:p>
    <w:p>
      <w:pPr>
        <w:pStyle w:val="BodyText"/>
      </w:pPr>
      <w:r>
        <w:t xml:space="preserve">31%</w:t>
      </w:r>
    </w:p>
    <w:p>
      <w:pPr>
        <w:pStyle w:val="BodyText"/>
      </w:pPr>
      <w:r>
        <w:rPr>
          <w:bCs/>
          <w:b/>
        </w:rPr>
        <w:t xml:space="preserve">+52.3%</w:t>
      </w:r>
    </w:p>
    <w:p>
      <w:pPr>
        <w:pStyle w:val="BodyText"/>
      </w:pPr>
      <w:r>
        <w:t xml:space="preserve">Diabetic Eye Care Programs</w:t>
      </w:r>
    </w:p>
    <w:p>
      <w:pPr>
        <w:pStyle w:val="BodyText"/>
      </w:pPr>
      <w:r>
        <w:t xml:space="preserve">27%</w:t>
      </w:r>
    </w:p>
    <w:p>
      <w:pPr>
        <w:pStyle w:val="BodyText"/>
      </w:pPr>
      <w:r>
        <w:t xml:space="preserve">+64.1%</w:t>
      </w:r>
    </w:p>
    <w:p>
      <w:pPr>
        <w:pStyle w:val="BodyText"/>
      </w:pPr>
      <w:r>
        <w:t xml:space="preserve">This revenue diversification has made our practice resilient against economic fluctuations in Kuwait City's healthcare sector.</w:t>
      </w:r>
    </w:p>
    <w:bookmarkEnd w:id="26"/>
    <w:bookmarkStart w:id="27" w:name="X1912b461e18394a45465552c2a1fa9a493b58c4"/>
    <w:p>
      <w:pPr>
        <w:pStyle w:val="Heading2"/>
      </w:pPr>
      <w:r>
        <w:t xml:space="preserve">Future Growth Strategy for Kuwait City Market</w:t>
      </w:r>
    </w:p>
    <w:p>
      <w:pPr>
        <w:pStyle w:val="FirstParagraph"/>
      </w:pPr>
      <w:r>
        <w:t xml:space="preserve">Based on our Sales Report findings, we recommend three priority initiatives for 2024:</w:t>
      </w:r>
    </w:p>
    <w:p>
      <w:pPr>
        <w:numPr>
          <w:ilvl w:val="0"/>
          <w:numId w:val="1004"/>
        </w:numPr>
        <w:pStyle w:val="Compact"/>
      </w:pPr>
      <w:r>
        <w:rPr>
          <w:bCs/>
          <w:b/>
        </w:rPr>
        <w:t xml:space="preserve">Kuwait City Eye Health Hubs:</w:t>
      </w:r>
      <w:r>
        <w:t xml:space="preserve"> </w:t>
      </w:r>
      <w:r>
        <w:t xml:space="preserve">Establishing 3 satellite clinics in Al-Salmiya, Hawally and Farwaniya to capture underserved communities, projected to generate $850K in new revenue.</w:t>
      </w:r>
    </w:p>
    <w:p>
      <w:pPr>
        <w:numPr>
          <w:ilvl w:val="0"/>
          <w:numId w:val="1004"/>
        </w:numPr>
        <w:pStyle w:val="Compact"/>
      </w:pPr>
      <w:r>
        <w:rPr>
          <w:bCs/>
          <w:b/>
        </w:rPr>
        <w:t xml:space="preserve">Genetic Ophthalmology Program:</w:t>
      </w:r>
      <w:r>
        <w:t xml:space="preserve"> </w:t>
      </w:r>
      <w:r>
        <w:t xml:space="preserve">Partnering with Kuwait University's Medical Research Center to address hereditary eye conditions prevalent among Kuwaiti families.</w:t>
      </w:r>
    </w:p>
    <w:bookmarkEnd w:id="27"/>
    <w:bookmarkStart w:id="28" w:name="X208a2add87d0ee14262bcf0f99cf4def3ffaabf"/>
    <w:p>
      <w:pPr>
        <w:pStyle w:val="Heading2"/>
      </w:pPr>
      <w:r>
        <w:t xml:space="preserve">Conclusion: Leading Ophthalmology Excellence in Kuwait City</w:t>
      </w:r>
    </w:p>
    <w:p>
      <w:pPr>
        <w:pStyle w:val="FirstParagraph"/>
      </w:pPr>
      <w:r>
        <w:t xml:space="preserve">This Sales Report unequivocally establishes our Ophthalmologist practice as the market leader in Kuwait City's evolving eye care landscape. Our strategic focus on cultural alignment, technological innovation, and community health needs has driven exceptional revenue growth (34% YoY) while improving patient outcomes across Kuwait City. The data confirms that specialized ophthalmology services are not just a medical necessity but a high-value business opportunity in Kuwait City's premium healthcare market.</w:t>
      </w:r>
    </w:p>
    <w:p>
      <w:pPr>
        <w:pStyle w:val="BodyText"/>
      </w:pPr>
      <w:r>
        <w:t xml:space="preserve">As the only practice in Kuwait City offering integrated eye care from neonatal to geriatric, with 100% of our Ophthalmologist staff certified by the Gulf Medical Council, we project maintaining 25-30% market share growth through 2025. This Sales Report serves as both a performance milestone and a strategic roadmap for dominating ophthalmic care in Kuwait City while setting new standards for healthcare excellence across the GCC region.</w:t>
      </w:r>
    </w:p>
    <w:p>
      <w:pPr>
        <w:pStyle w:val="BodyText"/>
      </w:pPr>
      <w:r>
        <w:rPr>
          <w:bCs/>
          <w:b/>
        </w:rPr>
        <w:t xml:space="preserve">Prepared For:</w:t>
      </w:r>
      <w:r>
        <w:t xml:space="preserve"> </w:t>
      </w:r>
      <w:r>
        <w:t xml:space="preserve">Executive Committee, Kuwait City Medical Group |</w:t>
      </w:r>
      <w:r>
        <w:t xml:space="preserve"> </w:t>
      </w:r>
      <w:r>
        <w:rPr>
          <w:bCs/>
          <w:b/>
        </w:rPr>
        <w:t xml:space="preserve">Date:</w:t>
      </w:r>
      <w:r>
        <w:t xml:space="preserve"> </w:t>
      </w:r>
      <w:r>
        <w:t xml:space="preserve">October 26,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Sales Report - Kuwait City Market Analysis</dc:title>
  <dc:creator/>
  <dc:language>en</dc:language>
  <cp:keywords/>
  <dcterms:created xsi:type="dcterms:W3CDTF">2025-12-09T19:46:23Z</dcterms:created>
  <dcterms:modified xsi:type="dcterms:W3CDTF">2025-12-09T19:46:23Z</dcterms:modified>
</cp:coreProperties>
</file>

<file path=docProps/custom.xml><?xml version="1.0" encoding="utf-8"?>
<Properties xmlns="http://schemas.openxmlformats.org/officeDocument/2006/custom-properties" xmlns:vt="http://schemas.openxmlformats.org/officeDocument/2006/docPropsVTypes"/>
</file>