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fc56cf4b320cd962c3982d73ee5451f99abd991"/>
    <w:p>
      <w:pPr>
        <w:pStyle w:val="Heading1"/>
      </w:pPr>
      <w:r>
        <w:t xml:space="preserve">Comprehensive Sales Report: Ophthalmologist Practice Performance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Kuala Lumpur Eye Care Network</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ophthalmologist practice network across Malaysia Kuala Lumpur. The period witnessed a robust 18.7% year-over-year increase in total revenue, driven by heightened demand for specialized eye care services in one of Southeast Asia's fastest-growing healthcare markets. As the premier Ophthalmologist provider in Kuala Lumpur, we maintained our leadership position through strategic service expansion and patient-centric care models. This document serves as a critical analysis of our Sales Report performance within the Malaysia Kuala Lumpur healthcare ecosystem, highlighting both achievements and opportunities for growth.</w:t>
      </w:r>
    </w:p>
    <w:bookmarkEnd w:id="20"/>
    <w:bookmarkStart w:id="21" w:name="ii.-sales-performance-metrics-q1q3-2023"/>
    <w:p>
      <w:pPr>
        <w:pStyle w:val="Heading2"/>
      </w:pPr>
      <w:r>
        <w:t xml:space="preserve">II. Sales Performance Metrics (Q1–Q3 2023)</w:t>
      </w:r>
    </w:p>
    <w:p>
      <w:pPr>
        <w:pStyle w:val="FirstParagraph"/>
      </w:pPr>
      <w:r>
        <w:t xml:space="preserve">Service Category</w:t>
      </w:r>
    </w:p>
    <w:p>
      <w:pPr>
        <w:pStyle w:val="BodyText"/>
      </w:pPr>
      <w:r>
        <w:t xml:space="preserve">Jan–Mar '23 Revenue (RM)</w:t>
      </w:r>
    </w:p>
    <w:p>
      <w:pPr>
        <w:pStyle w:val="BodyText"/>
      </w:pPr>
      <w:r>
        <w:t xml:space="preserve">Apr–Jun '23 Revenue (RM)</w:t>
      </w:r>
    </w:p>
    <w:p>
      <w:pPr>
        <w:pStyle w:val="BodyText"/>
      </w:pPr>
      <w:r>
        <w:t xml:space="preserve">Jul–Sep '23 Revenue (RM)</w:t>
      </w:r>
    </w:p>
    <w:p>
      <w:pPr>
        <w:pStyle w:val="BodyText"/>
      </w:pPr>
      <w:r>
        <w:t xml:space="preserve">% YoY Growth</w:t>
      </w:r>
    </w:p>
    <w:p>
      <w:pPr>
        <w:pStyle w:val="BodyText"/>
      </w:pPr>
      <w:r>
        <w:t xml:space="preserve">General Consultations</w:t>
      </w:r>
    </w:p>
    <w:p>
      <w:pPr>
        <w:pStyle w:val="BodyText"/>
      </w:pPr>
      <w:r>
        <w:t xml:space="preserve">485,000</w:t>
      </w:r>
    </w:p>
    <w:p>
      <w:pPr>
        <w:pStyle w:val="BodyText"/>
      </w:pPr>
      <w:r>
        <w:t xml:space="preserve">521,300</w:t>
      </w:r>
    </w:p>
    <w:p>
      <w:pPr>
        <w:pStyle w:val="BodyText"/>
      </w:pPr>
      <w:r>
        <w:t xml:space="preserve">568,900</w:t>
      </w:r>
    </w:p>
    <w:p>
      <w:pPr>
        <w:pStyle w:val="BodyText"/>
      </w:pPr>
      <w:r>
        <w:t xml:space="preserve">+12.4%</w:t>
      </w:r>
    </w:p>
    <w:p>
      <w:pPr>
        <w:pStyle w:val="BodyText"/>
      </w:pPr>
      <w:r>
        <w:t xml:space="preserve">Cataract Surgery</w:t>
      </w:r>
    </w:p>
    <w:p>
      <w:pPr>
        <w:pStyle w:val="BodyText"/>
      </w:pPr>
      <w:r>
        <w:t xml:space="preserve">721,400</w:t>
      </w:r>
    </w:p>
    <w:p>
      <w:pPr>
        <w:pStyle w:val="BodyText"/>
      </w:pPr>
      <w:r>
        <w:t xml:space="preserve">&lt;</w:t>
      </w:r>
    </w:p>
    <w:p>
      <w:pPr>
        <w:pStyle w:val="BodyText"/>
      </w:pPr>
      <w:r>
        <w:t xml:space="preserve">789,650</w:t>
      </w:r>
    </w:p>
    <w:p>
      <w:pPr>
        <w:pStyle w:val="BodyText"/>
      </w:pPr>
      <w:r>
        <w:t xml:space="preserve">&lt;</w:t>
      </w:r>
    </w:p>
    <w:p>
      <w:pPr>
        <w:pStyle w:val="BodyText"/>
      </w:pPr>
      <w:r>
        <w:t xml:space="preserve">835,200</w:t>
      </w:r>
    </w:p>
    <w:p>
      <w:pPr>
        <w:pStyle w:val="BodyText"/>
      </w:pPr>
      <w:r>
        <w:t xml:space="preserve">+19.8%</w:t>
      </w:r>
    </w:p>
    <w:p>
      <w:pPr>
        <w:pStyle w:val="BodyText"/>
      </w:pPr>
      <w:r>
        <w:t xml:space="preserve">Laser Vision Correction (LASIK)</w:t>
      </w:r>
    </w:p>
    <w:p>
      <w:pPr>
        <w:pStyle w:val="BodyText"/>
      </w:pPr>
      <w:r>
        <w:t xml:space="preserve">312,700</w:t>
      </w:r>
    </w:p>
    <w:p>
      <w:pPr>
        <w:pStyle w:val="BodyText"/>
      </w:pPr>
      <w:r>
        <w:t xml:space="preserve">345,800</w:t>
      </w:r>
    </w:p>
    <w:p>
      <w:pPr>
        <w:pStyle w:val="BodyText"/>
      </w:pPr>
      <w:r>
        <w:t xml:space="preserve">412,650</w:t>
      </w:r>
    </w:p>
    <w:p>
      <w:pPr>
        <w:pStyle w:val="BodyText"/>
      </w:pPr>
      <w:r>
        <w:t xml:space="preserve">+26.3%</w:t>
      </w:r>
    </w:p>
    <w:p>
      <w:pPr>
        <w:pStyle w:val="BodyText"/>
      </w:pPr>
      <w:r>
        <w:t xml:space="preserve">Retinal &amp; Glaucoma Care</w:t>
      </w:r>
    </w:p>
    <w:p>
      <w:pPr>
        <w:pStyle w:val="BodyText"/>
      </w:pPr>
      <w:r>
        <w:t xml:space="preserve">298,500</w:t>
      </w:r>
    </w:p>
    <w:p>
      <w:pPr>
        <w:pStyle w:val="BodyText"/>
      </w:pPr>
      <w:r>
        <w:t xml:space="preserve">&lt;</w:t>
      </w:r>
    </w:p>
    <w:p>
      <w:pPr>
        <w:pStyle w:val="BodyText"/>
      </w:pPr>
      <w:r>
        <w:t xml:space="preserve">327,950</w:t>
      </w:r>
    </w:p>
    <w:p>
      <w:pPr>
        <w:pStyle w:val="BodyText"/>
      </w:pPr>
      <w:r>
        <w:t xml:space="preserve">411,800</w:t>
      </w:r>
      <w:r>
        <w:t xml:space="preserve"> </w:t>
      </w:r>
      <w:r>
        <w:t xml:space="preserve">+36.7%</w:t>
      </w:r>
    </w:p>
    <w:p>
      <w:pPr>
        <w:pStyle w:val="BodyText"/>
      </w:pPr>
      <w:r>
        <w:t xml:space="preserve">Total Revenue</w:t>
      </w:r>
    </w:p>
    <w:p>
      <w:pPr>
        <w:pStyle w:val="BodyText"/>
      </w:pPr>
      <w:r>
        <w:t xml:space="preserve">1,817,600</w:t>
      </w:r>
    </w:p>
    <w:p>
      <w:pPr>
        <w:pStyle w:val="BodyText"/>
      </w:pPr>
      <w:r>
        <w:t xml:space="preserve">2,032,550</w:t>
      </w:r>
    </w:p>
    <w:p>
      <w:pPr>
        <w:pStyle w:val="BodyText"/>
      </w:pPr>
      <w:r>
        <w:t xml:space="preserve">2,198,550</w:t>
      </w:r>
    </w:p>
    <w:p>
      <w:pPr>
        <w:pStyle w:val="BodyText"/>
      </w:pPr>
      <w:r>
        <w:t xml:space="preserve">+18.7%</w:t>
      </w:r>
    </w:p>
    <w:p>
      <w:pPr>
        <w:pStyle w:val="BodyText"/>
      </w:pPr>
      <w:r>
        <w:t xml:space="preserve">The consistent growth trajectory across all service lines confirms the rising demand for ophthalmology services in Malaysia Kuala Lumpur. Notably, laser vision correction and retinal care demonstrated exceptional performance, reflecting both patient preference for advanced treatments and our Ophthalmologist team's clinical excellence. This Sales Report underscores how strategic investment in cutting-edge technology (e.g., femtosecond lasers and OCT imaging) directly correlates with revenue growth within the Kuala Lumpur market.</w:t>
      </w:r>
    </w:p>
    <w:bookmarkEnd w:id="21"/>
    <w:bookmarkStart w:id="22" w:name="X0c64ea61a4ffc7e3a438e91493fca791f916e6b"/>
    <w:p>
      <w:pPr>
        <w:pStyle w:val="Heading2"/>
      </w:pPr>
      <w:r>
        <w:t xml:space="preserve">III. Market Analysis: Ophthalmology Demand in Malaysia Kuala Lumpur</w:t>
      </w:r>
    </w:p>
    <w:p>
      <w:pPr>
        <w:pStyle w:val="FirstParagraph"/>
      </w:pPr>
      <w:r>
        <w:t xml:space="preserve">Kuala Lumpur's population of 8.5 million drives an annual demand for ophthalmology services exceeding 1.2 million consultations (Malaysian Health Ministry, 2023). Our Sales Report identifies three pivotal trends:</w:t>
      </w:r>
    </w:p>
    <w:p>
      <w:pPr>
        <w:numPr>
          <w:ilvl w:val="0"/>
          <w:numId w:val="1001"/>
        </w:numPr>
        <w:pStyle w:val="Compact"/>
      </w:pPr>
      <w:r>
        <w:rPr>
          <w:bCs/>
          <w:b/>
        </w:rPr>
        <w:t xml:space="preserve">Urbanization &amp; Aging Population:</w:t>
      </w:r>
      <w:r>
        <w:t xml:space="preserve"> </w:t>
      </w:r>
      <w:r>
        <w:t xml:space="preserve">The city's rapid urbanization has increased age-related eye conditions by 9% annually. Over 65% of our new patients in Q3 were aged 55+, requiring comprehensive care from our Ophthalmologist specialists.</w:t>
      </w:r>
    </w:p>
    <w:p>
      <w:pPr>
        <w:numPr>
          <w:ilvl w:val="0"/>
          <w:numId w:val="1001"/>
        </w:numPr>
        <w:pStyle w:val="Compact"/>
      </w:pPr>
      <w:r>
        <w:rPr>
          <w:bCs/>
          <w:b/>
        </w:rPr>
        <w:t xml:space="preserve">Rising Health Insurance Coverage:</w:t>
      </w:r>
      <w:r>
        <w:t xml:space="preserve"> </w:t>
      </w:r>
      <w:r>
        <w:t xml:space="preserve">With &gt;80% of Kuala Lumpur residents now covered under private health insurance (including Medisave), procedures like cataract surgery saw a 24% surge in demand – directly boosting practice revenue.</w:t>
      </w:r>
    </w:p>
    <w:p>
      <w:pPr>
        <w:numPr>
          <w:ilvl w:val="0"/>
          <w:numId w:val="1001"/>
        </w:numPr>
        <w:pStyle w:val="Compact"/>
      </w:pPr>
      <w:r>
        <w:rPr>
          <w:bCs/>
          <w:b/>
        </w:rPr>
        <w:t xml:space="preserve">Digital Health Adoption:</w:t>
      </w:r>
      <w:r>
        <w:t xml:space="preserve"> </w:t>
      </w:r>
      <w:r>
        <w:t xml:space="preserve">Tele-ophthalmology services grew by 350% this year, enabling our Ophthalmologist team to triage 1,200+ virtual consultations monthly. This digital expansion significantly improved patient access while optimizing sales capacity in Malaysia Kuala Lumpur.</w:t>
      </w:r>
    </w:p>
    <w:bookmarkEnd w:id="22"/>
    <w:bookmarkStart w:id="23" w:name="X70d4c3bd84a7a263b7dae8b73f7216810f6533a"/>
    <w:p>
      <w:pPr>
        <w:pStyle w:val="Heading2"/>
      </w:pPr>
      <w:r>
        <w:t xml:space="preserve">IV. Patient Acquisition &amp; Retention Strategies</w:t>
      </w:r>
    </w:p>
    <w:p>
      <w:pPr>
        <w:pStyle w:val="FirstParagraph"/>
      </w:pPr>
      <w:r>
        <w:t xml:space="preserve">Our Sales Report attributes growth to targeted community engagement in Malaysia Kuala Lumpur:</w:t>
      </w:r>
    </w:p>
    <w:p>
      <w:pPr>
        <w:numPr>
          <w:ilvl w:val="0"/>
          <w:numId w:val="1002"/>
        </w:numPr>
        <w:pStyle w:val="Compact"/>
      </w:pPr>
      <w:r>
        <w:rPr>
          <w:bCs/>
          <w:b/>
        </w:rPr>
        <w:t xml:space="preserve">Free Screening Campaigns:</w:t>
      </w:r>
      <w:r>
        <w:t xml:space="preserve"> </w:t>
      </w:r>
      <w:r>
        <w:t xml:space="preserve">Partnered with 15 corporate offices and 30 mosques for free diabetic retinopathy screenings, generating 47% of new patient leads. This initiative positioned our Ophthalmologist practice as a community health leader in Kuala Lumpur.</w:t>
      </w:r>
    </w:p>
    <w:p>
      <w:pPr>
        <w:numPr>
          <w:ilvl w:val="0"/>
          <w:numId w:val="1002"/>
        </w:numPr>
        <w:pStyle w:val="Compact"/>
      </w:pPr>
      <w:r>
        <w:rPr>
          <w:bCs/>
          <w:b/>
        </w:rPr>
        <w:t xml:space="preserve">Loyalty Programs:</w:t>
      </w:r>
      <w:r>
        <w:t xml:space="preserve"> </w:t>
      </w:r>
      <w:r>
        <w:t xml:space="preserve">Introduced "Vision Rewards" for repeat patients, increasing retention by 28% and generating RM152,000 in recurring revenue through follow-up care packages.</w:t>
      </w:r>
    </w:p>
    <w:p>
      <w:pPr>
        <w:numPr>
          <w:ilvl w:val="0"/>
          <w:numId w:val="1002"/>
        </w:numPr>
        <w:pStyle w:val="Compact"/>
      </w:pPr>
      <w:r>
        <w:rPr>
          <w:bCs/>
          <w:b/>
        </w:rPr>
        <w:t xml:space="preserve">Referral Network Expansion:</w:t>
      </w:r>
      <w:r>
        <w:t xml:space="preserve"> </w:t>
      </w:r>
      <w:r>
        <w:t xml:space="preserve">Strengthened partnerships with 42 primary care clinics across Kuala Lumpur, driving a 31% rise in specialist referrals – a key revenue channel for our Ophthalmologist network.</w:t>
      </w:r>
    </w:p>
    <w:bookmarkEnd w:id="23"/>
    <w:bookmarkStart w:id="24" w:name="v.-challenges-competitive-landscape"/>
    <w:p>
      <w:pPr>
        <w:pStyle w:val="Heading2"/>
      </w:pPr>
      <w:r>
        <w:t xml:space="preserve">V. Challenges &amp; Competitive Landscape</w:t>
      </w:r>
    </w:p>
    <w:p>
      <w:pPr>
        <w:pStyle w:val="FirstParagraph"/>
      </w:pPr>
      <w:r>
        <w:t xml:space="preserve">Despite growth, the Malaysia Kuala Lumpur market presents unique challenges:</w:t>
      </w:r>
    </w:p>
    <w:p>
      <w:pPr>
        <w:numPr>
          <w:ilvl w:val="0"/>
          <w:numId w:val="1003"/>
        </w:numPr>
        <w:pStyle w:val="Compact"/>
      </w:pPr>
      <w:r>
        <w:rPr>
          <w:bCs/>
          <w:b/>
        </w:rPr>
        <w:t xml:space="preserve">Regional Competition:</w:t>
      </w:r>
      <w:r>
        <w:t xml:space="preserve"> </w:t>
      </w:r>
      <w:r>
        <w:t xml:space="preserve">New competitors in Petaling Jaya have eroded our market share by 4.3% in general consultations. Our response includes premium service bundling (e.g., cataract surgery + 1-year post-op care at no extra cost).</w:t>
      </w:r>
    </w:p>
    <w:p>
      <w:pPr>
        <w:numPr>
          <w:ilvl w:val="0"/>
          <w:numId w:val="1003"/>
        </w:numPr>
        <w:pStyle w:val="Compact"/>
      </w:pPr>
      <w:r>
        <w:rPr>
          <w:bCs/>
          <w:b/>
        </w:rPr>
        <w:t xml:space="preserve">Clinical Staff Shortage:</w:t>
      </w:r>
      <w:r>
        <w:t xml:space="preserve"> </w:t>
      </w:r>
      <w:r>
        <w:t xml:space="preserve">A national shortage of Ophthalmologist specialists has increased recruitment costs by 22%. We addressed this via a scholarship program with the University of Malaya, securing 3 new specialists.</w:t>
      </w:r>
    </w:p>
    <w:p>
      <w:pPr>
        <w:numPr>
          <w:ilvl w:val="0"/>
          <w:numId w:val="1003"/>
        </w:numPr>
        <w:pStyle w:val="Compact"/>
      </w:pPr>
      <w:r>
        <w:rPr>
          <w:bCs/>
          <w:b/>
        </w:rPr>
        <w:t xml:space="preserve">Pricing Pressure:</w:t>
      </w:r>
      <w:r>
        <w:t xml:space="preserve"> </w:t>
      </w:r>
      <w:r>
        <w:t xml:space="preserve">Government healthcare subsidies on basic eye care services require us to maintain competitive pricing without sacrificing quality – a balance achieved through operational efficiency in our Kuala Lumpur clinics.</w:t>
      </w:r>
    </w:p>
    <w:bookmarkEnd w:id="24"/>
    <w:bookmarkStart w:id="25" w:name="vi.-strategic-recommendations-for-2024"/>
    <w:p>
      <w:pPr>
        <w:pStyle w:val="Heading2"/>
      </w:pPr>
      <w:r>
        <w:t xml:space="preserve">VI. Strategic Recommendations for 2024</w:t>
      </w:r>
    </w:p>
    <w:p>
      <w:pPr>
        <w:pStyle w:val="FirstParagraph"/>
      </w:pPr>
      <w:r>
        <w:t xml:space="preserve">To sustain momentum in Malaysia Kuala Lumpur, this Sales Report recommends:</w:t>
      </w:r>
    </w:p>
    <w:p>
      <w:pPr>
        <w:numPr>
          <w:ilvl w:val="0"/>
          <w:numId w:val="1004"/>
        </w:numPr>
        <w:pStyle w:val="Compact"/>
      </w:pPr>
      <w:r>
        <w:rPr>
          <w:bCs/>
          <w:b/>
        </w:rPr>
        <w:t xml:space="preserve">Expand Retinal Care Division:</w:t>
      </w:r>
      <w:r>
        <w:t xml:space="preserve"> </w:t>
      </w:r>
      <w:r>
        <w:t xml:space="preserve">Allocate RM500,000 to add a dedicated retinal surgeon position and diagnostic suite. Given our 36.7% YoY growth in this segment, it presents the highest revenue opportunity.</w:t>
      </w:r>
    </w:p>
    <w:p>
      <w:pPr>
        <w:numPr>
          <w:ilvl w:val="0"/>
          <w:numId w:val="1004"/>
        </w:numPr>
        <w:pStyle w:val="Compact"/>
      </w:pPr>
      <w:r>
        <w:rPr>
          <w:bCs/>
          <w:b/>
        </w:rPr>
        <w:t xml:space="preserve">Launch "Kuala Lumpur Vision Health" App:</w:t>
      </w:r>
      <w:r>
        <w:t xml:space="preserve"> </w:t>
      </w:r>
      <w:r>
        <w:t xml:space="preserve">Develop a mobile platform for appointment booking, tele-consultations, and vision tracking to capture the growing digital health market (estimated 32% CAGR in Malaysia).</w:t>
      </w:r>
    </w:p>
    <w:p>
      <w:pPr>
        <w:numPr>
          <w:ilvl w:val="0"/>
          <w:numId w:val="1004"/>
        </w:numPr>
        <w:pStyle w:val="Compact"/>
      </w:pPr>
      <w:r>
        <w:rPr>
          <w:bCs/>
          <w:b/>
        </w:rPr>
        <w:t xml:space="preserve">Target Corporate Wellness Programs:</w:t>
      </w:r>
      <w:r>
        <w:t xml:space="preserve"> </w:t>
      </w:r>
      <w:r>
        <w:t xml:space="preserve">Pitch comprehensive eye health packages to 100+ KL-based corporations – projected to generate RM985,000 in new annual revenue.</w:t>
      </w:r>
    </w:p>
    <w:bookmarkEnd w:id="25"/>
    <w:bookmarkStart w:id="26" w:name="vii.-conclusion"/>
    <w:p>
      <w:pPr>
        <w:pStyle w:val="Heading2"/>
      </w:pPr>
      <w:r>
        <w:t xml:space="preserve">VII. Conclusion</w:t>
      </w:r>
    </w:p>
    <w:p>
      <w:pPr>
        <w:pStyle w:val="FirstParagraph"/>
      </w:pPr>
      <w:r>
        <w:t xml:space="preserve">This Sales Report confirms that our Ophthalmologist practice has successfully capitalized on the evolving healthcare needs of Malaysia Kuala Lumpur. The 18.7% revenue growth, coupled with strong patient retention and strategic market positioning, validates our operational model in one of Southeast Asia's most dynamic urban healthcare environments. As the leading provider of ophthalmology services in Kuala Lumpur, we must continue prioritizing clinical innovation while expanding access to underserved communities across Malaysia. Our commitment to excellence ensures that every interaction with our Ophthalmologist team delivers not just exceptional eye care, but also measurable growth for the practice and lasting value for patients in Malaysia Kuala Lumpur.</w:t>
      </w:r>
    </w:p>
    <w:p>
      <w:pPr>
        <w:pStyle w:val="BodyText"/>
      </w:pPr>
      <w:r>
        <w:rPr>
          <w:bCs/>
          <w:b/>
        </w:rPr>
        <w:t xml:space="preserve">Prepared By:</w:t>
      </w:r>
      <w:r>
        <w:t xml:space="preserve"> </w:t>
      </w:r>
      <w:r>
        <w:t xml:space="preserve">Dr. Aisha Rahman, Chief Revenue Officer</w:t>
      </w:r>
      <w:r>
        <w:br/>
      </w:r>
      <w:r>
        <w:rPr>
          <w:bCs/>
          <w:b/>
        </w:rPr>
        <w:t xml:space="preserve">Contact:</w:t>
      </w:r>
      <w:r>
        <w:t xml:space="preserve"> </w:t>
      </w:r>
      <w:r>
        <w:t xml:space="preserve">a.ram@kl-eyecare.com | +603 1234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Malaysia Kuala Lumpur</dc:title>
  <dc:creator/>
  <dc:language>en</dc:language>
  <cp:keywords/>
  <dcterms:created xsi:type="dcterms:W3CDTF">2026-07-24T03:54:37Z</dcterms:created>
  <dcterms:modified xsi:type="dcterms:W3CDTF">2026-07-24T03:54:37Z</dcterms:modified>
</cp:coreProperties>
</file>

<file path=docProps/custom.xml><?xml version="1.0" encoding="utf-8"?>
<Properties xmlns="http://schemas.openxmlformats.org/officeDocument/2006/custom-properties" xmlns:vt="http://schemas.openxmlformats.org/officeDocument/2006/docPropsVTypes"/>
</file>