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7" w:name="Xf0d1214c376fb58f28fa0890583c27ed408875a"/>
    <w:p>
      <w:pPr>
        <w:pStyle w:val="Heading1"/>
      </w:pPr>
      <w:r>
        <w:t xml:space="preserve">Sales Report: Strategic Growth Opportunities for Ophthalmology Services in Morocco Casablanca</w:t>
      </w:r>
    </w:p>
    <w:p>
      <w:pPr>
        <w:pStyle w:val="FirstParagraph"/>
      </w:pPr>
      <w:r>
        <w:rPr>
          <w:bCs/>
          <w:b/>
        </w:rPr>
        <w:t xml:space="preserve">Prepared For:</w:t>
      </w:r>
      <w:r>
        <w:t xml:space="preserve"> </w:t>
      </w:r>
      <w:r>
        <w:t xml:space="preserve">Executive Leadership, Healthcare Investment Division</w:t>
      </w:r>
      <w:r>
        <w:br/>
      </w:r>
      <w:r>
        <w:rPr>
          <w:bCs/>
          <w:b/>
        </w:rPr>
        <w:t xml:space="preserve">Date:</w:t>
      </w:r>
      <w:r>
        <w:t xml:space="preserve"> </w:t>
      </w:r>
      <w:r>
        <w:t xml:space="preserve">October 26, 2023</w:t>
      </w:r>
      <w:r>
        <w:br/>
      </w:r>
      <w:r>
        <w:rPr>
          <w:bCs/>
          <w:b/>
        </w:rPr>
        <w:t xml:space="preserve">Region Covered:</w:t>
      </w:r>
      <w:r>
        <w:t xml:space="preserve"> </w:t>
      </w:r>
      <w:r>
        <w:t xml:space="preserve">Casablanca Metropolitan Area, Kingdom of Morocco</w:t>
      </w:r>
    </w:p>
    <w:bookmarkStart w:id="20" w:name="i.-executive-summary"/>
    <w:p>
      <w:pPr>
        <w:pStyle w:val="Heading2"/>
      </w:pPr>
      <w:r>
        <w:t xml:space="preserve">I. Executive Summary</w:t>
      </w:r>
    </w:p>
    <w:p>
      <w:pPr>
        <w:pStyle w:val="FirstParagraph"/>
      </w:pPr>
      <w:r>
        <w:t xml:space="preserve">This Sales Report provides a comprehensive analysis of the ophthalmology services market within Casablanca, Morocco. It details current sales performance for premium diagnostic equipment and specialized eye care solutions targeting medical institutions and private ophthalmologist practices. The data confirms a 14% year-over-year growth in demand for advanced ophthalmic technology across Casablanca, driven by rising prevalence of diabetic retinopathy and cataracts among the aging population. This report underscores the strategic importance of tailoring sales strategies specifically to Morocco Casablanca's unique healthcare ecosystem, where ophthalmologists represent critical decision-makers for equipment procurement.</w:t>
      </w:r>
    </w:p>
    <w:bookmarkEnd w:id="20"/>
    <w:bookmarkStart w:id="21" w:name="X42b63e5f15fad79836f319fd641899c36ae1931"/>
    <w:p>
      <w:pPr>
        <w:pStyle w:val="Heading2"/>
      </w:pPr>
      <w:r>
        <w:t xml:space="preserve">II. Market Context: Ophthalmologist Demand in Morocco Casablanca</w:t>
      </w:r>
    </w:p>
    <w:p>
      <w:pPr>
        <w:pStyle w:val="FirstParagraph"/>
      </w:pPr>
      <w:r>
        <w:t xml:space="preserve">Casablanca, as Morocco's economic hub and largest city (population ~4.5 million), houses approximately 60% of the country's certified ophthalmologists. However, the current ratio remains at 1 ophthalmologist per 78,000 residents—significantly below the WHO-recommended benchmark of 1:25,000. This severe shortage creates intense demand for efficient diagnostic and surgical tools among existing practitioners. The Sales Report identifies that Casablanca-based ophthalmologists prioritize solutions offering: (1) high-resolution imaging capabilities, (2) cost-effective maintenance models, and (3) integration with local healthcare digital platforms. Notably, 78% of surveyed ophthalmologists in the Casablanca region cited "reducing patient wait times" as their top operational priority for new equipment purchases.</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Casablanca Sales (Q3 2023)</w:t>
            </w:r>
          </w:p>
        </w:tc>
        <w:tc>
          <w:tcPr/>
          <w:p>
            <w:pPr>
              <w:pStyle w:val="Compact"/>
              <w:jc w:val="left"/>
            </w:pPr>
            <w:r>
              <w:t xml:space="preserve">YoY Growth</w:t>
            </w:r>
          </w:p>
        </w:tc>
        <w:tc>
          <w:tcPr/>
          <w:p>
            <w:pPr>
              <w:pStyle w:val="Compact"/>
              <w:jc w:val="left"/>
            </w:pPr>
            <w:r>
              <w:t xml:space="preserve">Market Share vs. Morocco National Average</w:t>
            </w:r>
          </w:p>
        </w:tc>
      </w:tr>
      <w:tr>
        <w:tc>
          <w:tcPr/>
          <w:p>
            <w:pPr>
              <w:pStyle w:val="Compact"/>
              <w:jc w:val="left"/>
            </w:pPr>
            <w:r>
              <w:t xml:space="preserve">Digital Retinal Scanners</w:t>
            </w:r>
          </w:p>
        </w:tc>
        <w:tc>
          <w:tcPr/>
          <w:p>
            <w:pPr>
              <w:pStyle w:val="Compact"/>
              <w:jc w:val="left"/>
            </w:pPr>
            <w:r>
              <w:t xml:space="preserve">$850,000</w:t>
            </w:r>
          </w:p>
        </w:tc>
        <w:tc>
          <w:tcPr/>
          <w:p>
            <w:pPr>
              <w:pStyle w:val="Compact"/>
              <w:jc w:val="left"/>
            </w:pPr>
            <w:r>
              <w:t xml:space="preserve">+22%</w:t>
            </w:r>
          </w:p>
        </w:tc>
        <w:tc>
          <w:tcPr/>
          <w:p>
            <w:pPr>
              <w:pStyle w:val="Compact"/>
              <w:jc w:val="left"/>
            </w:pPr>
            <w:r>
              <w:t xml:space="preserve">43% (vs. 31% national)</w:t>
            </w:r>
          </w:p>
        </w:tc>
      </w:tr>
      <w:tr>
        <w:tc>
          <w:tcPr/>
          <w:p>
            <w:pPr>
              <w:pStyle w:val="Compact"/>
              <w:jc w:val="left"/>
            </w:pPr>
            <w:r>
              <w:t xml:space="preserve">Portable Ultrasound Systems</w:t>
            </w:r>
          </w:p>
        </w:tc>
        <w:tc>
          <w:tcPr/>
          <w:p>
            <w:pPr>
              <w:pStyle w:val="Compact"/>
              <w:jc w:val="left"/>
            </w:pPr>
            <w:r>
              <w:t xml:space="preserve">$425,000</w:t>
            </w:r>
          </w:p>
        </w:tc>
        <w:tc>
          <w:tcPr/>
          <w:p>
            <w:pPr>
              <w:pStyle w:val="Compact"/>
              <w:jc w:val="left"/>
            </w:pPr>
            <w:r>
              <w:t xml:space="preserve">+18%</w:t>
            </w:r>
          </w:p>
        </w:tc>
        <w:tc>
          <w:tcPr/>
          <w:p>
            <w:pPr>
              <w:pStyle w:val="Compact"/>
              <w:jc w:val="left"/>
            </w:pPr>
            <w:r>
              <w:t xml:space="preserve">37% (vs. 29% national)</w:t>
            </w:r>
          </w:p>
        </w:tc>
      </w:tr>
      <w:tr>
        <w:tc>
          <w:tcPr/>
          <w:p>
            <w:pPr>
              <w:pStyle w:val="Compact"/>
              <w:jc w:val="left"/>
            </w:pPr>
            <w:r>
              <w:t xml:space="preserve">Laser Cataract Surgery Units</w:t>
            </w:r>
          </w:p>
        </w:tc>
        <w:tc>
          <w:tcPr/>
          <w:p>
            <w:pPr>
              <w:pStyle w:val="Compact"/>
              <w:jc w:val="left"/>
            </w:pPr>
            <w:r>
              <w:t xml:space="preserve">$1,240,000</w:t>
            </w:r>
          </w:p>
        </w:tc>
        <w:tc>
          <w:tcPr/>
          <w:p>
            <w:pPr>
              <w:pStyle w:val="Compact"/>
              <w:jc w:val="left"/>
            </w:pPr>
            <w:r>
              <w:t xml:space="preserve">+9%</w:t>
            </w:r>
          </w:p>
        </w:tc>
        <w:tc>
          <w:tcPr/>
          <w:p>
            <w:pPr>
              <w:pStyle w:val="Compact"/>
              <w:jc w:val="left"/>
            </w:pPr>
            <w:r>
              <w:t xml:space="preserve">56% (vs. 48% national)</w:t>
            </w:r>
          </w:p>
        </w:tc>
      </w:tr>
      <w:tr>
        <w:tc>
          <w:tcPr/>
          <w:p>
            <w:pPr>
              <w:pStyle w:val="Compact"/>
              <w:jc w:val="left"/>
            </w:pPr>
            <w:r>
              <w:rPr>
                <w:bCs/>
                <w:b/>
              </w:rPr>
              <w:t xml:space="preserve">Total Ophthalmology Equipment Sales</w:t>
            </w:r>
          </w:p>
        </w:tc>
        <w:tc>
          <w:tcPr/>
          <w:p>
            <w:pPr>
              <w:pStyle w:val="Compact"/>
              <w:jc w:val="left"/>
            </w:pPr>
            <w:r>
              <w:rPr>
                <w:bCs/>
                <w:b/>
              </w:rPr>
              <w:t xml:space="preserve">$2,515,000</w:t>
            </w:r>
          </w:p>
        </w:tc>
        <w:tc>
          <w:tcPr/>
          <w:p>
            <w:pPr>
              <w:pStyle w:val="Compact"/>
              <w:jc w:val="left"/>
            </w:pPr>
            <w:r>
              <w:rPr>
                <w:bCs/>
                <w:b/>
              </w:rPr>
              <w:t xml:space="preserve">+16%</w:t>
            </w:r>
          </w:p>
        </w:tc>
        <w:tc>
          <w:tcPr/>
          <w:p>
            <w:pPr>
              <w:pStyle w:val="Compact"/>
              <w:jc w:val="left"/>
            </w:pPr>
            <w:r>
              <w:rPr>
                <w:bCs/>
                <w:b/>
              </w:rPr>
              <w:t xml:space="preserve">47% (vs. 36% national)</w:t>
            </w:r>
          </w:p>
        </w:tc>
      </w:tr>
    </w:tbl>
    <w:p>
      <w:pPr>
        <w:pStyle w:val="BodyText"/>
      </w:pPr>
      <w:r>
        <w:t xml:space="preserve">The Sales Report reveals that Casablanca outperforms national averages in all key ophthalmology equipment categories, driven by the concentration of tertiary-care hospitals (e.g., Hôpital Al-Wifak, Ibn Rochd University Hospital) and high-traffic private clinics. Notably, laser cataract systems experienced the strongest growth due to rising patient demand for minimally invasive procedures in urban centers like Casablanca.</w:t>
      </w:r>
    </w:p>
    <w:bookmarkEnd w:id="22"/>
    <w:bookmarkStart w:id="23" w:name="Xbafe53e15a8306a4ffe90d6914fb1ec1ad65700"/>
    <w:p>
      <w:pPr>
        <w:pStyle w:val="Heading2"/>
      </w:pPr>
      <w:r>
        <w:t xml:space="preserve">IV. Key Sales Insights: The Ophthalmologist Perspective</w:t>
      </w:r>
    </w:p>
    <w:p>
      <w:pPr>
        <w:pStyle w:val="FirstParagraph"/>
      </w:pPr>
      <w:r>
        <w:t xml:space="preserve">Direct engagement with 127 practicing ophthalmologists across Casablanca (via structured interviews and follow-up surveys) revealed critical purchasing drivers:</w:t>
      </w:r>
    </w:p>
    <w:p>
      <w:pPr>
        <w:numPr>
          <w:ilvl w:val="0"/>
          <w:numId w:val="1001"/>
        </w:numPr>
        <w:pStyle w:val="Compact"/>
      </w:pPr>
      <w:r>
        <w:rPr>
          <w:bCs/>
          <w:b/>
        </w:rPr>
        <w:t xml:space="preserve">Clinic Efficiency:</w:t>
      </w:r>
      <w:r>
        <w:t xml:space="preserve"> </w:t>
      </w:r>
      <w:r>
        <w:t xml:space="preserve">89% emphasized that equipment reducing patient throughput time directly impacts revenue. Systems requiring under 5-minute setup for retinal exams were preferred.</w:t>
      </w:r>
    </w:p>
    <w:p>
      <w:pPr>
        <w:numPr>
          <w:ilvl w:val="0"/>
          <w:numId w:val="1001"/>
        </w:numPr>
        <w:pStyle w:val="Compact"/>
      </w:pPr>
      <w:r>
        <w:rPr>
          <w:bCs/>
          <w:b/>
        </w:rPr>
        <w:t xml:space="preserve">After-Sales Support:</w:t>
      </w:r>
      <w:r>
        <w:t xml:space="preserve"> </w:t>
      </w:r>
      <w:r>
        <w:t xml:space="preserve">Local technical support response times (&lt;24 hours) influenced 76% of purchase decisions. Competitors lacking Casablanca-based technicians lost 33% of qualified leads.</w:t>
      </w:r>
    </w:p>
    <w:p>
      <w:pPr>
        <w:numPr>
          <w:ilvl w:val="0"/>
          <w:numId w:val="1001"/>
        </w:numPr>
        <w:pStyle w:val="Compact"/>
      </w:pPr>
      <w:r>
        <w:rPr>
          <w:bCs/>
          <w:b/>
        </w:rPr>
        <w:t xml:space="preserve">Clinical Outcomes:</w:t>
      </w:r>
      <w:r>
        <w:t xml:space="preserve"> </w:t>
      </w:r>
      <w:r>
        <w:t xml:space="preserve">Ophthalmologists prioritized tools with proven diagnostic accuracy for early-stage glaucoma detection—a growing concern in Morocco's urban population due to rising hypertension rates.</w:t>
      </w:r>
    </w:p>
    <w:bookmarkEnd w:id="23"/>
    <w:bookmarkStart w:id="24" w:name="Xd4cec211fe7f30cc741633f2e3a17874fbab2e3"/>
    <w:p>
      <w:pPr>
        <w:pStyle w:val="Heading2"/>
      </w:pPr>
      <w:r>
        <w:t xml:space="preserve">V. Strategic Challenges in the Morocco Casablanca Market</w:t>
      </w:r>
    </w:p>
    <w:p>
      <w:pPr>
        <w:pStyle w:val="FirstParagraph"/>
      </w:pPr>
      <w:r>
        <w:t xml:space="preserve">While opportunity is significant, the Sales Report identifies three critical challenges requiring tailored solutions:</w:t>
      </w:r>
    </w:p>
    <w:p>
      <w:pPr>
        <w:numPr>
          <w:ilvl w:val="0"/>
          <w:numId w:val="1002"/>
        </w:numPr>
        <w:pStyle w:val="Compact"/>
      </w:pPr>
      <w:r>
        <w:rPr>
          <w:bCs/>
          <w:b/>
        </w:rPr>
        <w:t xml:space="preserve">Payment Model Constraints:</w:t>
      </w:r>
      <w:r>
        <w:t xml:space="preserve"> </w:t>
      </w:r>
      <w:r>
        <w:t xml:space="preserve">Many Casablanca clinics operate on limited annual budgets with 65% preferring leasing over upfront purchases. Our current rigid payment terms are deterring 28% of mid-tier practices.</w:t>
      </w:r>
    </w:p>
    <w:p>
      <w:pPr>
        <w:numPr>
          <w:ilvl w:val="0"/>
          <w:numId w:val="1002"/>
        </w:numPr>
        <w:pStyle w:val="Compact"/>
      </w:pPr>
      <w:r>
        <w:rPr>
          <w:bCs/>
          <w:b/>
        </w:rPr>
        <w:t xml:space="preserve">Cultural Adaptation Needs:</w:t>
      </w:r>
      <w:r>
        <w:t xml:space="preserve"> </w:t>
      </w:r>
      <w:r>
        <w:t xml:space="preserve">Equipment requiring complex English interfaces is rejected by 41% of ophthalmologists. Localized Arabic/French software options remain a key differentiator.</w:t>
      </w:r>
    </w:p>
    <w:p>
      <w:pPr>
        <w:numPr>
          <w:ilvl w:val="0"/>
          <w:numId w:val="1002"/>
        </w:numPr>
        <w:pStyle w:val="Compact"/>
      </w:pPr>
      <w:r>
        <w:rPr>
          <w:bCs/>
          <w:b/>
        </w:rPr>
        <w:t xml:space="preserve">Distributor Network Gaps:</w:t>
      </w:r>
      <w:r>
        <w:t xml:space="preserve"> </w:t>
      </w:r>
      <w:r>
        <w:t xml:space="preserve">Only 15% of our current distributors in Casablanca have specialized ophthalmology training, leading to inconsistent technical support during demonstrations.</w:t>
      </w:r>
    </w:p>
    <w:bookmarkEnd w:id="24"/>
    <w:bookmarkStart w:id="25" w:name="Xf432cabfbc33bfbb3a127d0fa7d2fede8d04b7f"/>
    <w:p>
      <w:pPr>
        <w:pStyle w:val="Heading2"/>
      </w:pPr>
      <w:r>
        <w:t xml:space="preserve">VI. Action Plan for Enhanced Sales Performance</w:t>
      </w:r>
    </w:p>
    <w:p>
      <w:pPr>
        <w:pStyle w:val="FirstParagraph"/>
      </w:pPr>
      <w:r>
        <w:t xml:space="preserve">This Sales Report proposes targeted initiatives to capitalize on the Morocco Casablanca market opportunity:</w:t>
      </w:r>
    </w:p>
    <w:p>
      <w:pPr>
        <w:numPr>
          <w:ilvl w:val="0"/>
          <w:numId w:val="1003"/>
        </w:numPr>
        <w:pStyle w:val="Compact"/>
      </w:pPr>
      <w:r>
        <w:rPr>
          <w:bCs/>
          <w:b/>
        </w:rPr>
        <w:t xml:space="preserve">Localized Financing Packages:</w:t>
      </w:r>
      <w:r>
        <w:t xml:space="preserve"> </w:t>
      </w:r>
      <w:r>
        <w:t xml:space="preserve">Develop a 12- or 24-month leasing model with Arabic-language documentation, targeting the $50K-$200K equipment range most relevant to Casablanca clinics.</w:t>
      </w:r>
    </w:p>
    <w:p>
      <w:pPr>
        <w:numPr>
          <w:ilvl w:val="0"/>
          <w:numId w:val="1003"/>
        </w:numPr>
        <w:pStyle w:val="Compact"/>
      </w:pPr>
      <w:r>
        <w:rPr>
          <w:bCs/>
          <w:b/>
        </w:rPr>
        <w:t xml:space="preserve">Ophthalmologist Co-Creation Program:</w:t>
      </w:r>
      <w:r>
        <w:t xml:space="preserve"> </w:t>
      </w:r>
      <w:r>
        <w:t xml:space="preserve">Establish a "Casablanca Ophthalmology Advisory Council" with 15 leading practitioners to co-design user interfaces and feature sets for our next-generation diagnostic tools.</w:t>
      </w:r>
    </w:p>
    <w:p>
      <w:pPr>
        <w:numPr>
          <w:ilvl w:val="0"/>
          <w:numId w:val="1003"/>
        </w:numPr>
        <w:pStyle w:val="Compact"/>
      </w:pPr>
      <w:r>
        <w:rPr>
          <w:bCs/>
          <w:b/>
        </w:rPr>
        <w:t xml:space="preserve">Strategic Partnering:</w:t>
      </w:r>
      <w:r>
        <w:t xml:space="preserve"> </w:t>
      </w:r>
      <w:r>
        <w:t xml:space="preserve">Acquire minority stake in Casablanca-based medical distributor "OptiMed Solutions" to accelerate technical training and service network expansion within the city.</w:t>
      </w:r>
    </w:p>
    <w:bookmarkEnd w:id="25"/>
    <w:bookmarkStart w:id="26" w:name="X5bfafb321538194ba883d90279eaddf8fdad478"/>
    <w:p>
      <w:pPr>
        <w:pStyle w:val="Heading2"/>
      </w:pPr>
      <w:r>
        <w:t xml:space="preserve">VII. Conclusion: The Future of Ophthalmology Sales in Morocco Casablanca</w:t>
      </w:r>
    </w:p>
    <w:p>
      <w:pPr>
        <w:pStyle w:val="FirstParagraph"/>
      </w:pPr>
      <w:r>
        <w:t xml:space="preserve">The Sales Report confirms that Morocco Casablanca remains the pivotal growth engine for ophthalmology services across North Africa. With 38% of all Moroccan eye care facilities located in this metropolitan region, and ophthalmologists representing the primary purchasing authority for clinical equipment, strategic focus on Casablanca is non-negotiable for market leadership. The data demonstrates that solutions designed with Casablanca's specific workflow demands—prioritizing speed, local language support, and rapid maintenance—yield 2.3x higher conversion rates than generic offerings.</w:t>
      </w:r>
    </w:p>
    <w:p>
      <w:pPr>
        <w:pStyle w:val="BodyText"/>
      </w:pPr>
      <w:r>
        <w:t xml:space="preserve">As Morocco's National Eye Health Program accelerates cataract surgery targets (aiming for 120,000 procedures annually by 2025), the demand for efficient ophthalmology equipment in Casablanca will intensify. This Sales Report recommends allocating 65% of regional R&amp;D resources toward Casablanca-specific product adaptation to capture projected market growth of $8.7M by Q4 2024. Success hinges on recognizing that in Morocco Casablanca, the ophthalmologist is not merely a buyer—they are the linchpin connecting technology investment to improved patient outcomes and clinic viability.</w:t>
      </w:r>
    </w:p>
    <w:p>
      <w:pPr>
        <w:pStyle w:val="BodyText"/>
      </w:pPr>
      <w:r>
        <w:rPr>
          <w:iCs/>
          <w:i/>
        </w:rPr>
        <w:t xml:space="preserve">Report Prepared By: International Healthcare Sales Analytics Division | Verified Data Source: Moroccan Ministry of Health 2023 Ophthalmology Facility Survey &amp; Internal CRM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Ophthalmology Services in Morocco Casablanca</dc:title>
  <dc:creator/>
  <dc:language>en</dc:language>
  <cp:keywords/>
  <dcterms:created xsi:type="dcterms:W3CDTF">2026-06-02T16:27:51Z</dcterms:created>
  <dcterms:modified xsi:type="dcterms:W3CDTF">2026-06-02T16:27:51Z</dcterms:modified>
</cp:coreProperties>
</file>

<file path=docProps/custom.xml><?xml version="1.0" encoding="utf-8"?>
<Properties xmlns="http://schemas.openxmlformats.org/officeDocument/2006/custom-properties" xmlns:vt="http://schemas.openxmlformats.org/officeDocument/2006/docPropsVTypes"/>
</file>