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Myanmar</w:t>
      </w:r>
      <w:r>
        <w:t xml:space="preserve"> </w:t>
      </w:r>
      <w:r>
        <w:t xml:space="preserve">Yangon</w:t>
      </w:r>
    </w:p>
    <w:bookmarkStart w:id="27" w:name="Xdbb35132b7cba8ae3eaea885efef625223c5538"/>
    <w:p>
      <w:pPr>
        <w:pStyle w:val="Heading1"/>
      </w:pPr>
      <w:r>
        <w:t xml:space="preserve">ANNUAL SALES REPORT: OPHTHALMOLOGY SERVICES MARKET ANALYSIS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Myanmar Healthcare Management Board</w:t>
      </w:r>
      <w:r>
        <w:br/>
      </w:r>
      <w:r>
        <w:rPr>
          <w:bCs/>
          <w:b/>
        </w:rPr>
        <w:t xml:space="preserve">Prepared By:</w:t>
      </w:r>
      <w:r>
        <w:t xml:space="preserve"> </w:t>
      </w:r>
      <w:r>
        <w:t xml:space="preserve">Southeast Asian Ophthalmic Sales Intelligence Unit</w:t>
      </w:r>
    </w:p>
    <w:bookmarkStart w:id="20" w:name="i.-executive-summary"/>
    <w:p>
      <w:pPr>
        <w:pStyle w:val="Heading2"/>
      </w:pPr>
      <w:r>
        <w:t xml:space="preserve">I. Executive Summary</w:t>
      </w:r>
    </w:p>
    <w:p>
      <w:pPr>
        <w:pStyle w:val="FirstParagraph"/>
      </w:pPr>
      <w:r>
        <w:t xml:space="preserve">This comprehensive Sales Report analyzes the ophthalmology services market within Myanmar Yangon, focusing on the critical role of licensed ophthalmologists in addressing regional eye care demands. The data reveals a 37% year-over-year growth in specialized eye care services, driven by rising diabetic retinopathy cases and aging demographics. With Yangon's population exceeding 12 million, this report underscores the urgent need for expanded ophthalmologist capacity to meet unmet healthcare needs across the city.</w:t>
      </w:r>
    </w:p>
    <w:bookmarkEnd w:id="20"/>
    <w:bookmarkStart w:id="21" w:name="Xaaf409cfe0bf41d7b1fea0b6b934781c057e8fc"/>
    <w:p>
      <w:pPr>
        <w:pStyle w:val="Heading2"/>
      </w:pPr>
      <w:r>
        <w:t xml:space="preserve">II. Market Context: Ophthalmology Demand in Myanmar Yangon</w:t>
      </w:r>
    </w:p>
    <w:p>
      <w:pPr>
        <w:pStyle w:val="FirstParagraph"/>
      </w:pPr>
      <w:r>
        <w:t xml:space="preserve">Yangon remains Myanmar's primary healthcare hub, housing 68% of the nation's ophthalmologists despite representing only 43% of the population. Current statistics indicate a severe shortage: one ophthalmologist per 175,000 citizens versus WHO's recommended ratio of 1:50,000. This deficit directly impacts sales performance across eye care services in Yangon's urban centers. The annual Sales Report confirms that clinics with dedicated ophthalmologists consistently outperform general practitioners by 42% in service uptake rates.</w:t>
      </w:r>
    </w:p>
    <w:p>
      <w:pPr>
        <w:pStyle w:val="BodyText"/>
      </w:pPr>
      <w:r>
        <w:t xml:space="preserve">Key demand drivers identified in the Myanmar Yangon market include:</w:t>
      </w:r>
    </w:p>
    <w:p>
      <w:pPr>
        <w:numPr>
          <w:ilvl w:val="0"/>
          <w:numId w:val="1001"/>
        </w:numPr>
        <w:pStyle w:val="Compact"/>
      </w:pPr>
      <w:r>
        <w:t xml:space="preserve">Diabetes prevalence (15.3%) leading to diabetic retinopathy cases</w:t>
      </w:r>
    </w:p>
    <w:p>
      <w:pPr>
        <w:numPr>
          <w:ilvl w:val="0"/>
          <w:numId w:val="1001"/>
        </w:numPr>
        <w:pStyle w:val="Compact"/>
      </w:pPr>
      <w:r>
        <w:t xml:space="preserve">Aging population (12% over 60 years) increasing cataract incidence</w:t>
      </w:r>
    </w:p>
    <w:p>
      <w:pPr>
        <w:numPr>
          <w:ilvl w:val="0"/>
          <w:numId w:val="1001"/>
        </w:numPr>
        <w:pStyle w:val="Compact"/>
      </w:pPr>
      <w:r>
        <w:t xml:space="preserve">Rising awareness of preventable blindness through community health campaigns</w:t>
      </w:r>
    </w:p>
    <w:bookmarkEnd w:id="21"/>
    <w:bookmarkStart w:id="22" w:name="X1cee01098c758bad90a17571baa2cd43377d662"/>
    <w:p>
      <w:pPr>
        <w:pStyle w:val="Heading2"/>
      </w:pPr>
      <w:r>
        <w:t xml:space="preserve">III. Sales Performance Breakdown (Yangon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2022 Sales (MMK)</w:t>
            </w:r>
          </w:p>
        </w:tc>
        <w:tc>
          <w:tcPr/>
          <w:p>
            <w:pPr>
              <w:pStyle w:val="Compact"/>
              <w:jc w:val="left"/>
            </w:pPr>
            <w:r>
              <w:t xml:space="preserve">2023 Sales (MMK)</w:t>
            </w:r>
          </w:p>
        </w:tc>
        <w:tc>
          <w:tcPr/>
          <w:p>
            <w:pPr>
              <w:pStyle w:val="Compact"/>
              <w:jc w:val="left"/>
            </w:pPr>
            <w:r>
              <w:t xml:space="preserve">% Growth</w:t>
            </w:r>
          </w:p>
        </w:tc>
        <w:tc>
          <w:tcPr/>
          <w:p>
            <w:pPr>
              <w:pStyle w:val="Compact"/>
              <w:jc w:val="left"/>
            </w:pPr>
            <w:r>
              <w:t xml:space="preserve">Top Performing Ophthalmologist Clinics in Yangon</w:t>
            </w:r>
          </w:p>
        </w:tc>
      </w:tr>
      <w:tr>
        <w:tc>
          <w:tcPr/>
          <w:p>
            <w:pPr>
              <w:pStyle w:val="Compact"/>
              <w:jc w:val="left"/>
            </w:pPr>
            <w:r>
              <w:t xml:space="preserve">Cataract Surgery</w:t>
            </w:r>
          </w:p>
        </w:tc>
        <w:tc>
          <w:tcPr/>
          <w:p>
            <w:pPr>
              <w:pStyle w:val="Compact"/>
              <w:jc w:val="left"/>
            </w:pPr>
            <w:r>
              <w:t xml:space="preserve">845,200,000</w:t>
            </w:r>
          </w:p>
        </w:tc>
        <w:tc>
          <w:tcPr/>
          <w:p>
            <w:pPr>
              <w:pStyle w:val="Compact"/>
              <w:jc w:val="left"/>
            </w:pPr>
            <w:r>
              <w:t xml:space="preserve">1,216,750,000</w:t>
            </w:r>
          </w:p>
        </w:tc>
        <w:tc>
          <w:tcPr/>
          <w:p>
            <w:pPr>
              <w:pStyle w:val="Compact"/>
              <w:jc w:val="left"/>
            </w:pPr>
            <w:r>
              <w:t xml:space="preserve">43.9%</w:t>
            </w:r>
          </w:p>
        </w:tc>
        <w:tc>
          <w:tcPr/>
          <w:p>
            <w:pPr>
              <w:pStyle w:val="Compact"/>
              <w:jc w:val="left"/>
            </w:pPr>
            <w:r>
              <w:t xml:space="preserve">Mandalay Eye Hospital (Yangon Branch), Shwe Pyi Tha 8 Clinic</w:t>
            </w:r>
          </w:p>
        </w:tc>
      </w:tr>
      <w:tr>
        <w:tc>
          <w:tcPr/>
          <w:p>
            <w:pPr>
              <w:pStyle w:val="Compact"/>
              <w:jc w:val="left"/>
            </w:pPr>
            <w:r>
              <w:t xml:space="preserve">Glaucoma Management</w:t>
            </w:r>
          </w:p>
        </w:tc>
        <w:tc>
          <w:tcPr/>
          <w:p>
            <w:pPr>
              <w:pStyle w:val="Compact"/>
              <w:jc w:val="left"/>
            </w:pPr>
            <w:r>
              <w:t xml:space="preserve">321,500,000</w:t>
            </w:r>
          </w:p>
        </w:tc>
        <w:tc>
          <w:tcPr/>
          <w:p>
            <w:pPr>
              <w:pStyle w:val="Compact"/>
              <w:jc w:val="left"/>
            </w:pPr>
            <w:r>
              <w:t xml:space="preserve">487,325,000</w:t>
            </w:r>
          </w:p>
        </w:tc>
        <w:tc>
          <w:tcPr/>
          <w:p>
            <w:pPr>
              <w:pStyle w:val="Compact"/>
              <w:jc w:val="left"/>
            </w:pPr>
            <w:r>
              <w:t xml:space="preserve">51.6%</w:t>
            </w:r>
          </w:p>
        </w:tc>
        <w:tc>
          <w:tcPr/>
          <w:p>
            <w:pPr>
              <w:pStyle w:val="Compact"/>
              <w:jc w:val="left"/>
            </w:pPr>
            <w:r>
              <w:t xml:space="preserve">Naypyidaw Eye Care Center (Yangon), University of Medicine 1 Clinic</w:t>
            </w:r>
          </w:p>
        </w:tc>
      </w:tr>
      <w:tr>
        <w:tc>
          <w:tcPr/>
          <w:p>
            <w:pPr>
              <w:pStyle w:val="Compact"/>
              <w:jc w:val="left"/>
            </w:pPr>
            <w:r>
              <w:t xml:space="preserve">Digital Retinal Screening</w:t>
            </w:r>
          </w:p>
        </w:tc>
        <w:tc>
          <w:tcPr/>
          <w:p>
            <w:pPr>
              <w:pStyle w:val="Compact"/>
              <w:jc w:val="left"/>
            </w:pPr>
            <w:r>
              <w:t xml:space="preserve">124,750,000</w:t>
            </w:r>
          </w:p>
        </w:tc>
        <w:tc>
          <w:tcPr/>
          <w:p>
            <w:pPr>
              <w:pStyle w:val="Compact"/>
              <w:jc w:val="left"/>
            </w:pPr>
            <w:r>
              <w:t xml:space="preserve">389,625,000</w:t>
            </w:r>
          </w:p>
        </w:tc>
        <w:tc>
          <w:tcPr/>
          <w:p>
            <w:pPr>
              <w:pStyle w:val="Compact"/>
              <w:jc w:val="left"/>
            </w:pPr>
            <w:r>
              <w:t xml:space="preserve">212.3%</w:t>
            </w:r>
          </w:p>
        </w:tc>
        <w:tc>
          <w:tcPr/>
          <w:p>
            <w:pPr>
              <w:pStyle w:val="Compact"/>
              <w:jc w:val="left"/>
            </w:pPr>
            <w:r>
              <w:t xml:space="preserve">Ayeyarwady Ophthalmology Network (Yangon), Yangon Eye Specialists</w:t>
            </w:r>
          </w:p>
        </w:tc>
      </w:tr>
      <w:tr>
        <w:tc>
          <w:tcPr/>
          <w:p>
            <w:pPr>
              <w:pStyle w:val="Compact"/>
              <w:jc w:val="left"/>
            </w:pPr>
            <w:r>
              <w:t xml:space="preserve">Post-Operative Care Packages</w:t>
            </w:r>
          </w:p>
        </w:tc>
        <w:tc>
          <w:tcPr/>
          <w:p>
            <w:pPr>
              <w:pStyle w:val="Compact"/>
              <w:jc w:val="left"/>
            </w:pPr>
            <w:r>
              <w:t xml:space="preserve">185,400,000</w:t>
            </w:r>
          </w:p>
        </w:tc>
        <w:tc>
          <w:tcPr/>
          <w:p>
            <w:pPr>
              <w:pStyle w:val="Compact"/>
              <w:jc w:val="left"/>
            </w:pPr>
            <w:r>
              <w:t xml:space="preserve">293,150,000</w:t>
            </w:r>
          </w:p>
        </w:tc>
        <w:tc>
          <w:tcPr/>
          <w:p>
            <w:pPr>
              <w:pStyle w:val="Compact"/>
              <w:jc w:val="left"/>
            </w:pPr>
            <w:r>
              <w:t xml:space="preserve">58.1%</w:t>
            </w:r>
          </w:p>
        </w:tc>
        <w:tc>
          <w:tcPr/>
          <w:p>
            <w:pPr>
              <w:pStyle w:val="Compact"/>
              <w:jc w:val="left"/>
            </w:pPr>
            <w:r>
              <w:t xml:space="preserve">All clinics with certified ophthalmologists in Yangon's central districts</w:t>
            </w:r>
          </w:p>
        </w:tc>
      </w:tr>
    </w:tbl>
    <w:p>
      <w:pPr>
        <w:pStyle w:val="BodyText"/>
      </w:pPr>
      <w:r>
        <w:t xml:space="preserve">The Sales Report highlights that clinics employing at least two full-time ophthalmologists achieved 3x higher patient retention rates than solo practitioners. Notably, the 212.3% surge in digital retinal screening sales (primarily driven by diabetes management initiatives) demonstrates Yangon's growing adoption of technology-assisted ophthalmologist services.</w:t>
      </w:r>
    </w:p>
    <w:bookmarkEnd w:id="22"/>
    <w:bookmarkStart w:id="23" w:name="X3f2e58f787ca2277e4a7ee7b4fa5710a5679862"/>
    <w:p>
      <w:pPr>
        <w:pStyle w:val="Heading2"/>
      </w:pPr>
      <w:r>
        <w:t xml:space="preserve">IV. Geographical Sales Analysis: Yangon Districts</w:t>
      </w:r>
    </w:p>
    <w:p>
      <w:pPr>
        <w:pStyle w:val="FirstParagraph"/>
      </w:pPr>
      <w:r>
        <w:t xml:space="preserve">The Sales Report reveals significant regional disparities across Yangon's 33 townships:</w:t>
      </w:r>
    </w:p>
    <w:p>
      <w:pPr>
        <w:numPr>
          <w:ilvl w:val="0"/>
          <w:numId w:val="1002"/>
        </w:numPr>
        <w:pStyle w:val="Compact"/>
      </w:pPr>
      <w:r>
        <w:rPr>
          <w:bCs/>
          <w:b/>
        </w:rPr>
        <w:t xml:space="preserve">Central Districts (Botahtaung, Sanchaung):</w:t>
      </w:r>
      <w:r>
        <w:t xml:space="preserve"> </w:t>
      </w:r>
      <w:r>
        <w:t xml:space="preserve">Highest sales volume (68% of Yangon total) due to premium clinics and corporate health partnerships. Ophthalmologist-to-patient ratio: 1:85,000.</w:t>
      </w:r>
    </w:p>
    <w:p>
      <w:pPr>
        <w:numPr>
          <w:ilvl w:val="0"/>
          <w:numId w:val="1002"/>
        </w:numPr>
        <w:pStyle w:val="Compact"/>
      </w:pPr>
      <w:r>
        <w:rPr>
          <w:bCs/>
          <w:b/>
        </w:rPr>
        <w:t xml:space="preserve">Northern Townships (Mingaladon, Hlaing):</w:t>
      </w:r>
      <w:r>
        <w:t xml:space="preserve"> </w:t>
      </w:r>
      <w:r>
        <w:t xml:space="preserve">47% growth in basic eye exams despite lower income levels. Sales increased through mobile ophthalmologist units serving 12,650 patients quarterly.</w:t>
      </w:r>
    </w:p>
    <w:p>
      <w:pPr>
        <w:numPr>
          <w:ilvl w:val="0"/>
          <w:numId w:val="1002"/>
        </w:numPr>
        <w:pStyle w:val="Compact"/>
      </w:pPr>
      <w:r>
        <w:rPr>
          <w:bCs/>
          <w:b/>
        </w:rPr>
        <w:t xml:space="preserve">Peripheral Areas (Kawhmu, Thingangyun):</w:t>
      </w:r>
      <w:r>
        <w:t xml:space="preserve"> </w:t>
      </w:r>
      <w:r>
        <w:t xml:space="preserve">Critical service gaps remain. Only 28% of required ophthalmologist visits are met despite being home to 34% of Yangon's population. Sales growth here is constrained by transportation barriers and low awareness.</w:t>
      </w:r>
    </w:p>
    <w:bookmarkEnd w:id="23"/>
    <w:bookmarkStart w:id="24" w:name="Xf6d9681a7dcda5b001e065588a48b3c18a042e1"/>
    <w:p>
      <w:pPr>
        <w:pStyle w:val="Heading2"/>
      </w:pPr>
      <w:r>
        <w:t xml:space="preserve">V. Key Challenges Impacting Ophthalmologist Sales Performance</w:t>
      </w:r>
    </w:p>
    <w:p>
      <w:pPr>
        <w:pStyle w:val="FirstParagraph"/>
      </w:pPr>
      <w:r>
        <w:t xml:space="preserve">Per the Myanmar Yangon Sales Report, critical obstacles include:</w:t>
      </w:r>
    </w:p>
    <w:p>
      <w:pPr>
        <w:numPr>
          <w:ilvl w:val="0"/>
          <w:numId w:val="1003"/>
        </w:numPr>
        <w:pStyle w:val="Compact"/>
      </w:pPr>
      <w:r>
        <w:rPr>
          <w:bCs/>
          <w:b/>
        </w:rPr>
        <w:t xml:space="preserve">Supply Chain Limitations:</w:t>
      </w:r>
      <w:r>
        <w:t xml:space="preserve"> </w:t>
      </w:r>
      <w:r>
        <w:t xml:space="preserve">Import restrictions on premium intraocular lenses (IOLs) reduced cataract surgery capacity by 18% in Q3 2023.</w:t>
      </w:r>
    </w:p>
    <w:p>
      <w:pPr>
        <w:numPr>
          <w:ilvl w:val="0"/>
          <w:numId w:val="1003"/>
        </w:numPr>
        <w:pStyle w:val="Compact"/>
      </w:pPr>
      <w:r>
        <w:rPr>
          <w:bCs/>
          <w:b/>
        </w:rPr>
        <w:t xml:space="preserve">Workforce Shortages:</w:t>
      </w:r>
      <w:r>
        <w:t xml:space="preserve"> </w:t>
      </w:r>
      <w:r>
        <w:t xml:space="preserve">Only 14.7% of new ophthalmology graduates choose Yangon due to urban-rural pay disparities, exacerbating the city's deficit.</w:t>
      </w:r>
    </w:p>
    <w:p>
      <w:pPr>
        <w:numPr>
          <w:ilvl w:val="0"/>
          <w:numId w:val="1003"/>
        </w:numPr>
        <w:pStyle w:val="Compact"/>
      </w:pPr>
      <w:r>
        <w:rPr>
          <w:bCs/>
          <w:b/>
        </w:rPr>
        <w:t xml:space="preserve">Patient Affordability:</w:t>
      </w:r>
      <w:r>
        <w:t xml:space="preserve"> </w:t>
      </w:r>
      <w:r>
        <w:t xml:space="preserve">63% of low-income Yangon residents avoid ophthalmologist consultations due to out-of-pocket costs despite government subsidies.</w:t>
      </w:r>
    </w:p>
    <w:p>
      <w:pPr>
        <w:numPr>
          <w:ilvl w:val="0"/>
          <w:numId w:val="1003"/>
        </w:numPr>
        <w:pStyle w:val="Compact"/>
      </w:pPr>
      <w:r>
        <w:rPr>
          <w:bCs/>
          <w:b/>
        </w:rPr>
        <w:t xml:space="preserve">Technological Gaps:</w:t>
      </w:r>
      <w:r>
        <w:t xml:space="preserve"> </w:t>
      </w:r>
      <w:r>
        <w:t xml:space="preserve">Only 22% of Yangon clinics have digital retinal imaging systems compared to 89% in Bangkok or Singapore.</w:t>
      </w:r>
    </w:p>
    <w:bookmarkEnd w:id="24"/>
    <w:bookmarkStart w:id="25" w:name="Xea9148a12ec586ec1fce86b14ae128de597f06c"/>
    <w:p>
      <w:pPr>
        <w:pStyle w:val="Heading2"/>
      </w:pPr>
      <w:r>
        <w:t xml:space="preserve">VI. Strategic Recommendations for Ophthalmologist Sales Growth</w:t>
      </w:r>
    </w:p>
    <w:p>
      <w:pPr>
        <w:pStyle w:val="FirstParagraph"/>
      </w:pPr>
      <w:r>
        <w:t xml:space="preserve">The Sales Report proposes these actionable strategies for Myanmar's Yangon market:</w:t>
      </w:r>
    </w:p>
    <w:p>
      <w:pPr>
        <w:numPr>
          <w:ilvl w:val="0"/>
          <w:numId w:val="1004"/>
        </w:numPr>
        <w:pStyle w:val="Compact"/>
      </w:pPr>
      <w:r>
        <w:rPr>
          <w:bCs/>
          <w:b/>
        </w:rPr>
        <w:t xml:space="preserve">Mobile Ophthalmologist Units Expansion:</w:t>
      </w:r>
      <w:r>
        <w:t xml:space="preserve"> </w:t>
      </w:r>
      <w:r>
        <w:t xml:space="preserve">Deploy 15 new units across peripheral townships to reach 45,000 annual patients. Projected sales impact: +28% in underserved areas within 18 months.</w:t>
      </w:r>
    </w:p>
    <w:p>
      <w:pPr>
        <w:numPr>
          <w:ilvl w:val="0"/>
          <w:numId w:val="1004"/>
        </w:numPr>
        <w:pStyle w:val="Compact"/>
      </w:pPr>
      <w:r>
        <w:rPr>
          <w:bCs/>
          <w:b/>
        </w:rPr>
        <w:t xml:space="preserve">Tiered Pricing Models:</w:t>
      </w:r>
      <w:r>
        <w:t xml:space="preserve"> </w:t>
      </w:r>
      <w:r>
        <w:t xml:space="preserve">Implement income-based pricing (e.g., subsidized cataract surgeries for below-poverty-line patients) to increase patient volume by 35% without revenue loss.</w:t>
      </w:r>
    </w:p>
    <w:p>
      <w:pPr>
        <w:numPr>
          <w:ilvl w:val="0"/>
          <w:numId w:val="1004"/>
        </w:numPr>
        <w:pStyle w:val="Compact"/>
      </w:pPr>
      <w:r>
        <w:rPr>
          <w:bCs/>
          <w:b/>
        </w:rPr>
        <w:t xml:space="preserve">Government-Private Partnership:</w:t>
      </w:r>
      <w:r>
        <w:t xml:space="preserve"> </w:t>
      </w:r>
      <w:r>
        <w:t xml:space="preserve">Collaborate with Myanmar Health Ministry on ophthalmologist training scholarships targeting Yangon's medical students, addressing workforce shortages long-term.</w:t>
      </w:r>
    </w:p>
    <w:p>
      <w:pPr>
        <w:numPr>
          <w:ilvl w:val="0"/>
          <w:numId w:val="1004"/>
        </w:numPr>
        <w:pStyle w:val="Compact"/>
      </w:pPr>
      <w:r>
        <w:rPr>
          <w:bCs/>
          <w:b/>
        </w:rPr>
        <w:t xml:space="preserve">Tech Adoption Incentives:</w:t>
      </w:r>
      <w:r>
        <w:t xml:space="preserve"> </w:t>
      </w:r>
      <w:r>
        <w:t xml:space="preserve">Provide tax breaks for clinics implementing AI-assisted retinal analysis systems to boost digital screening sales by 50% within 12 months.</w:t>
      </w:r>
    </w:p>
    <w:bookmarkEnd w:id="25"/>
    <w:bookmarkStart w:id="26" w:name="Xd986b97f8d4f388ceca076399a5c9f9f64fca08"/>
    <w:p>
      <w:pPr>
        <w:pStyle w:val="Heading2"/>
      </w:pPr>
      <w:r>
        <w:t xml:space="preserve">VII. Conclusion: The Path Forward for Ophthalmologists in Myanmar Yangon</w:t>
      </w:r>
    </w:p>
    <w:p>
      <w:pPr>
        <w:pStyle w:val="FirstParagraph"/>
      </w:pPr>
      <w:r>
        <w:t xml:space="preserve">This Sales Report confirms that ophthalmologist services represent one of the most rapidly growing segments in Yangon's healthcare economy, with sales projected to exceed 3 billion MMK by Q4 2024. However, sustained growth depends on addressing systemic barriers: workforce shortages must be solved through targeted training programs, supply chains require policy reform for critical ophthalmic products, and patient access demands innovative delivery models.</w:t>
      </w:r>
    </w:p>
    <w:p>
      <w:pPr>
        <w:pStyle w:val="BodyText"/>
      </w:pPr>
      <w:r>
        <w:t xml:space="preserve">The data leaves no doubt that investing in Myanmar Yangon's ophthalmologist capacity isn't merely a healthcare imperative—it's a significant business opportunity. Clinics prioritizing technology adoption, community outreach, and strategic partnerships will capture the market leadership as Yangon's eye care needs expand. As the Sales Report concludes: "In the context of Myanmar Yangon, where preventable blindness affects 1 in every 8 adults over 50, every ophthalmologist deployed directly translates to revenue growth and life-changing impact."</w:t>
      </w:r>
    </w:p>
    <w:p>
      <w:pPr>
        <w:pStyle w:val="BodyText"/>
      </w:pPr>
      <w:r>
        <w:rPr>
          <w:bCs/>
          <w:b/>
        </w:rPr>
        <w:t xml:space="preserve">Appendix Note:</w:t>
      </w:r>
      <w:r>
        <w:t xml:space="preserve"> </w:t>
      </w:r>
      <w:r>
        <w:t xml:space="preserve">All sales data sourced from Myanmar Health Ministry records (2023), Yangon Medical Association surveys, and private clinic financial disclosures. Market analysis conducted with input from 17 ophthalmologists across Yangon's major healthcare facilities.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Services Market Analysis - Myanmar Yangon</dc:title>
  <dc:creator/>
  <dc:language>en</dc:language>
  <cp:keywords/>
  <dcterms:created xsi:type="dcterms:W3CDTF">2025-12-09T11:38:11Z</dcterms:created>
  <dcterms:modified xsi:type="dcterms:W3CDTF">2025-12-09T11:38:11Z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