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7" w:name="X0953e09f9b29c34b44227fdaaadb75e317965f0"/>
    <w:p>
      <w:pPr>
        <w:pStyle w:val="Heading1"/>
      </w:pPr>
      <w:r>
        <w:t xml:space="preserve">Annual Sales Report: Ophthalmologist Services at Amsterdam Eye Clinic,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Amsterdam Eye Clinic</w:t>
      </w:r>
      <w:r>
        <w:br/>
      </w:r>
      <w:r>
        <w:rPr>
          <w:bCs/>
          <w:b/>
        </w:rPr>
        <w:t xml:space="preserve">Purpose:</w:t>
      </w:r>
      <w:r>
        <w:t xml:space="preserve"> </w:t>
      </w:r>
      <w:r>
        <w:t xml:space="preserve">Comprehensive analysis of ophthalmology services performance in Netherlands Amsterdam market</w:t>
      </w:r>
    </w:p>
    <w:bookmarkStart w:id="20" w:name="i.-executive-summary"/>
    <w:p>
      <w:pPr>
        <w:pStyle w:val="Heading2"/>
      </w:pPr>
      <w:r>
        <w:t xml:space="preserve">I. Executive Summary</w:t>
      </w:r>
    </w:p>
    <w:p>
      <w:pPr>
        <w:pStyle w:val="FirstParagraph"/>
      </w:pPr>
      <w:r>
        <w:t xml:space="preserve">This Sales Report details the operational and financial performance of our ophthalmologist services across Amsterdam, Netherlands during the fiscal year 2023. Despite economic headwinds in the Dutch healthcare sector, our clinic achieved a 15% year-over-year revenue growth, reaching €4.8 million through strategic expansion of premium ophthalmology services. The report identifies Amsterdam's unique market dynamics as critical to our success, with strong demand for advanced cataract surgery and diabetic retinopathy management driving 67% of total sales. This performance positions us as the leading private ophthalmologist practice in Netherlands Amsterdam, with a 32% market share among specialized clinics.</w:t>
      </w:r>
    </w:p>
    <w:bookmarkEnd w:id="20"/>
    <w:bookmarkStart w:id="21" w:name="X423584ee7dd8fe7ca496f8f6dc68d13105c3aac"/>
    <w:p>
      <w:pPr>
        <w:pStyle w:val="Heading2"/>
      </w:pPr>
      <w:r>
        <w:t xml:space="preserve">II. Market Context: Ophthalmology Landscape in Netherlands Amsterdam</w:t>
      </w:r>
    </w:p>
    <w:p>
      <w:pPr>
        <w:pStyle w:val="FirstParagraph"/>
      </w:pPr>
      <w:r>
        <w:t xml:space="preserve">Amsterdam's demographic profile creates exceptional demand for ophthalmologist services. With 90% of residents aged 45+ having at least one age-related eye condition (per Dutch National Eye Health Survey 2023), and the city's aging population growing at 1.8% annually, the market is primed for specialized care. The Netherlands healthcare system uniquely supports private ophthalmology through its "Zorgverzekeringswet" (Health Insurance Act), which mandates comprehensive coverage for vision-related treatments – a key advantage over neighboring countries.</w:t>
      </w:r>
    </w:p>
    <w:p>
      <w:pPr>
        <w:pStyle w:val="BodyText"/>
      </w:pPr>
      <w:r>
        <w:t xml:space="preserve">Competitive analysis reveals Amsterdam has 12 primary ophthalmology clinics, but only 3 offer full-service advanced care. Our clinic's differentiation through cutting-edge technology (including AI-assisted OCT scanning) and multilingual Dutch-English patient support has been instrumental in capturing market share. Notably, the Netherlands Amsterdam region accounts for 41% of all premium ophthalmology procedures in the country despite representing only 23% of national population, confirming its status as a high-value market center.</w:t>
      </w:r>
    </w:p>
    <w:bookmarkEnd w:id="21"/>
    <w:bookmarkStart w:id="22" w:name="Xbbb053d6008df4788b1400328a877274cc92149"/>
    <w:p>
      <w:pPr>
        <w:pStyle w:val="Heading2"/>
      </w:pPr>
      <w:r>
        <w:t xml:space="preserve">III. Sales Performance Breakdown (Fiscal Year 2023)</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rPr>
          <w:bCs/>
          <w:b/>
        </w:rPr>
        <w:t xml:space="preserve">YoY Growth</w:t>
      </w:r>
    </w:p>
    <w:p>
      <w:pPr>
        <w:pStyle w:val="BodyText"/>
      </w:pPr>
      <w:r>
        <w:t xml:space="preserve">Cataract Surgery (Premium)</w:t>
      </w:r>
    </w:p>
    <w:p>
      <w:pPr>
        <w:pStyle w:val="BodyText"/>
      </w:pPr>
      <w:r>
        <w:t xml:space="preserve">1,980,000</w:t>
      </w:r>
    </w:p>
    <w:p>
      <w:pPr>
        <w:pStyle w:val="BodyText"/>
      </w:pPr>
      <w:r>
        <w:t xml:space="preserve">41.2%</w:t>
      </w:r>
    </w:p>
    <w:p>
      <w:pPr>
        <w:pStyle w:val="BodyText"/>
      </w:pPr>
      <w:r>
        <w:t xml:space="preserve">+22%</w:t>
      </w:r>
    </w:p>
    <w:p>
      <w:pPr>
        <w:pStyle w:val="BodyText"/>
      </w:pPr>
      <w:r>
        <w:t xml:space="preserve">Diabetic Retinopathy Management</w:t>
      </w:r>
    </w:p>
    <w:p>
      <w:pPr>
        <w:pStyle w:val="BodyText"/>
      </w:pPr>
      <w:r>
        <w:t xml:space="preserve">1,356,000</w:t>
      </w:r>
      <w:r>
        <w:rPr>
          <w:bCs/>
          <w:b/>
        </w:rPr>
        <w:t xml:space="preserve">28.3%</w:t>
      </w:r>
      <w:r>
        <w:t xml:space="preserve">+18%</w:t>
      </w:r>
    </w:p>
    <w:p>
      <w:pPr>
        <w:pStyle w:val="BodyText"/>
      </w:pPr>
      <w:r>
        <w:t xml:space="preserve">Laser Vision Correction (LASIK/PRK)</w:t>
      </w:r>
    </w:p>
    <w:p>
      <w:pPr>
        <w:pStyle w:val="BodyText"/>
      </w:pPr>
      <w:r>
        <w:t xml:space="preserve">789,200</w:t>
      </w:r>
    </w:p>
    <w:p>
      <w:pPr>
        <w:pStyle w:val="BodyText"/>
      </w:pPr>
      <w:r>
        <w:t xml:space="preserve">16.4%</w:t>
      </w:r>
    </w:p>
    <w:p>
      <w:pPr>
        <w:pStyle w:val="BodyText"/>
      </w:pPr>
      <w:r>
        <w:t xml:space="preserve">+9%</w:t>
      </w:r>
    </w:p>
    <w:p>
      <w:pPr>
        <w:pStyle w:val="BodyText"/>
      </w:pPr>
      <w:r>
        <w:t xml:space="preserve">Routine Eye Examinations</w:t>
      </w:r>
    </w:p>
    <w:p>
      <w:pPr>
        <w:pStyle w:val="BodyText"/>
      </w:pPr>
      <w:r>
        <w:t xml:space="preserve">355,800d&lt;2.3% d</w:t>
      </w:r>
    </w:p>
    <w:p>
      <w:pPr>
        <w:pStyle w:val="BodyText"/>
      </w:pPr>
      <w:r>
        <w:t xml:space="preserve">+4%</w:t>
      </w:r>
    </w:p>
    <w:p>
      <w:pPr>
        <w:pStyle w:val="BodyText"/>
      </w:pPr>
      <w:r>
        <w:t xml:space="preserve">Total</w:t>
      </w:r>
    </w:p>
    <w:p>
      <w:pPr>
        <w:pStyle w:val="BodyText"/>
      </w:pPr>
      <w:r>
        <w:t xml:space="preserve">4,812,000 d</w:t>
      </w:r>
    </w:p>
    <w:p>
      <w:pPr>
        <w:pStyle w:val="BodyText"/>
      </w:pPr>
      <w:r>
        <w:t xml:space="preserve">d&lt;100.9%d+15%</w:t>
      </w:r>
    </w:p>
    <w:p>
      <w:pPr>
        <w:pStyle w:val="BodyText"/>
      </w:pPr>
      <w:r>
        <w:t xml:space="preserve">The data demonstrates clear market leadership in high-margin procedures. Premium cataract surgery (featuring intraocular lens customization) achieved the strongest growth, driven by Amsterdam's affluent population seeking "one-stop" vision solutions. Notably, 63% of our patients came from across the Netherlands, confirming Amsterdam's status as a regional ophthalmology hub – with 28% traveling specifically from Rotterdam and Utrecht for our specialized services.</w:t>
      </w:r>
    </w:p>
    <w:bookmarkEnd w:id="22"/>
    <w:bookmarkStart w:id="23" w:name="X71c5ef9b0a0c237d43eac6aacc9ae87027d2d6a"/>
    <w:p>
      <w:pPr>
        <w:pStyle w:val="Heading2"/>
      </w:pPr>
      <w:r>
        <w:t xml:space="preserve">IV. Customer Insights: Amsterdam Patient Profile</w:t>
      </w:r>
    </w:p>
    <w:p>
      <w:pPr>
        <w:pStyle w:val="FirstParagraph"/>
      </w:pPr>
      <w:r>
        <w:t xml:space="preserve">Analysis of 11,473 patient interactions reveals a compelling demographic:</w:t>
      </w:r>
    </w:p>
    <w:p>
      <w:pPr>
        <w:numPr>
          <w:ilvl w:val="0"/>
          <w:numId w:val="1001"/>
        </w:numPr>
        <w:pStyle w:val="Compact"/>
      </w:pPr>
      <w:r>
        <w:rPr>
          <w:bCs/>
          <w:b/>
        </w:rPr>
        <w:t xml:space="preserve">Demographics:</w:t>
      </w:r>
      <w:r>
        <w:t xml:space="preserve"> </w:t>
      </w:r>
      <w:r>
        <w:t xml:space="preserve">58% aged 55-74 (highest demand segment), with 69% female patients in diabetic retinopathy care</w:t>
      </w:r>
    </w:p>
    <w:p>
      <w:pPr>
        <w:numPr>
          <w:ilvl w:val="0"/>
          <w:numId w:val="1001"/>
        </w:numPr>
        <w:pStyle w:val="Compact"/>
      </w:pPr>
      <w:r>
        <w:rPr>
          <w:bCs/>
          <w:b/>
        </w:rPr>
        <w:t xml:space="preserve">Insurance Coverage:</w:t>
      </w:r>
      <w:r>
        <w:t xml:space="preserve"> </w:t>
      </w:r>
      <w:r>
        <w:t xml:space="preserve">74% using public health insurance (Zorgverzekering), while premium services (e.g., premium lenses) were paid out-of-pocket by 26%</w:t>
      </w:r>
    </w:p>
    <w:p>
      <w:pPr>
        <w:numPr>
          <w:ilvl w:val="0"/>
          <w:numId w:val="1001"/>
        </w:numPr>
        <w:pStyle w:val="Compact"/>
      </w:pPr>
      <w:r>
        <w:rPr>
          <w:bCs/>
          <w:b/>
        </w:rPr>
        <w:t xml:space="preserve">Satisfaction Metrics:</w:t>
      </w:r>
      <w:r>
        <w:t xml:space="preserve"> </w:t>
      </w:r>
      <w:r>
        <w:t xml:space="preserve">94% patient satisfaction score (vs. national average of 88%), with "seamless digital appointment system" and "multilingual ophthalmologist staff" cited as key differentiators</w:t>
      </w:r>
    </w:p>
    <w:p>
      <w:pPr>
        <w:pStyle w:val="FirstParagraph"/>
      </w:pPr>
      <w:r>
        <w:t xml:space="preserve">Crucially, Amsterdam's multicultural population (19% foreign-born residents) required our clinic to offer Dutch, English, and Turkish-speaking ophthalmologists – a strategic investment that directly contributed to 37% of new patient acquisition in 2023. Patient testimonials consistently highlighted "accessibility" as critical: "The Amsterdam Eye Clinic's location near Central Station made my surgery possible while visiting for work" (Dutch-German client, September 2023).</w:t>
      </w:r>
    </w:p>
    <w:bookmarkEnd w:id="23"/>
    <w:bookmarkStart w:id="24" w:name="Xcee22fefc49206c69cd435680a495f988d20a40"/>
    <w:p>
      <w:pPr>
        <w:pStyle w:val="Heading2"/>
      </w:pPr>
      <w:r>
        <w:t xml:space="preserve">V. Challenges and Strategic Opportunities</w:t>
      </w:r>
    </w:p>
    <w:p>
      <w:pPr>
        <w:pStyle w:val="FirstParagraph"/>
      </w:pPr>
      <w:r>
        <w:t xml:space="preserve">Despite strong performance, two key challenges require attention:</w:t>
      </w:r>
    </w:p>
    <w:p>
      <w:pPr>
        <w:numPr>
          <w:ilvl w:val="0"/>
          <w:numId w:val="1002"/>
        </w:numPr>
        <w:pStyle w:val="Compact"/>
      </w:pPr>
      <w:r>
        <w:rPr>
          <w:bCs/>
          <w:b/>
        </w:rPr>
        <w:t xml:space="preserve">Staff Shortages:</w:t>
      </w:r>
      <w:r>
        <w:t xml:space="preserve"> </w:t>
      </w:r>
      <w:r>
        <w:t xml:space="preserve">Amsterdam's ophthalmologist vacancy rate stands at 18% (vs. national 12%), threatening our expansion plans.</w:t>
      </w:r>
    </w:p>
    <w:p>
      <w:pPr>
        <w:numPr>
          <w:ilvl w:val="0"/>
          <w:numId w:val="1002"/>
        </w:numPr>
        <w:pStyle w:val="Compact"/>
      </w:pPr>
      <w:r>
        <w:rPr>
          <w:bCs/>
          <w:b/>
        </w:rPr>
        <w:t xml:space="preserve">Insurance Reimbursement Delays:</w:t>
      </w:r>
      <w:r>
        <w:t xml:space="preserve"> </w:t>
      </w:r>
      <w:r>
        <w:t xml:space="preserve">Dutch health insurers average 63 days for premium procedure reimbursements, impacting cash flow.</w:t>
      </w:r>
    </w:p>
    <w:p>
      <w:pPr>
        <w:pStyle w:val="FirstParagraph"/>
      </w:pPr>
      <w:r>
        <w:t xml:space="preserve">Opportunities exist in three areas:</w:t>
      </w:r>
    </w:p>
    <w:p>
      <w:pPr>
        <w:numPr>
          <w:ilvl w:val="0"/>
          <w:numId w:val="1003"/>
        </w:numPr>
        <w:pStyle w:val="Compact"/>
      </w:pPr>
      <w:r>
        <w:rPr>
          <w:bCs/>
          <w:b/>
        </w:rPr>
        <w:t xml:space="preserve">Premium Tele-Ophthalmology Services:</w:t>
      </w:r>
      <w:r>
        <w:t xml:space="preserve"> </w:t>
      </w:r>
      <w:r>
        <w:t xml:space="preserve">Developing Dutch-language virtual consultations could capture 20% of patients currently traveling from rural Netherlands.</w:t>
      </w:r>
    </w:p>
    <w:p>
      <w:pPr>
        <w:numPr>
          <w:ilvl w:val="0"/>
          <w:numId w:val="1003"/>
        </w:numPr>
        <w:pStyle w:val="Compact"/>
      </w:pPr>
      <w:r>
        <w:rPr>
          <w:bCs/>
          <w:b/>
        </w:rPr>
        <w:t xml:space="preserve">Digital Health Partnerships:</w:t>
      </w:r>
      <w:r>
        <w:t xml:space="preserve"> </w:t>
      </w:r>
      <w:r>
        <w:t xml:space="preserve">Collaborating with Amsterdam-based wellness apps (e.g., "ZorgApp") to integrate eye health tracking into patient journeys.</w:t>
      </w:r>
    </w:p>
    <w:p>
      <w:pPr>
        <w:numPr>
          <w:ilvl w:val="0"/>
          <w:numId w:val="1003"/>
        </w:numPr>
        <w:pStyle w:val="Compact"/>
      </w:pPr>
      <w:r>
        <w:rPr>
          <w:bCs/>
          <w:b/>
        </w:rPr>
        <w:t xml:space="preserve">Specialized Senior Care Contracts:</w:t>
      </w:r>
      <w:r>
        <w:t xml:space="preserve"> </w:t>
      </w:r>
      <w:r>
        <w:t xml:space="preserve">Partnering with Amsterdam retirement communities for bundled vision care packages – a market currently underserved in Netherlands Amsterdam.</w:t>
      </w:r>
    </w:p>
    <w:bookmarkEnd w:id="24"/>
    <w:bookmarkStart w:id="25" w:name="vi.-strategic-recommendations"/>
    <w:p>
      <w:pPr>
        <w:pStyle w:val="Heading2"/>
      </w:pPr>
      <w:r>
        <w:t xml:space="preserve">VI. Strategic Recommendations</w:t>
      </w:r>
    </w:p>
    <w:p>
      <w:pPr>
        <w:pStyle w:val="FirstParagraph"/>
      </w:pPr>
      <w:r>
        <w:t xml:space="preserve">To maintain leadership in Netherlands Amsterdam's ophthalmology market, we recommend:</w:t>
      </w:r>
    </w:p>
    <w:p>
      <w:pPr>
        <w:numPr>
          <w:ilvl w:val="0"/>
          <w:numId w:val="1004"/>
        </w:numPr>
        <w:pStyle w:val="Compact"/>
      </w:pPr>
      <w:r>
        <w:rPr>
          <w:bCs/>
          <w:b/>
        </w:rPr>
        <w:t xml:space="preserve">Expand Specialist Recruitment:</w:t>
      </w:r>
      <w:r>
        <w:t xml:space="preserve"> </w:t>
      </w:r>
      <w:r>
        <w:t xml:space="preserve">Target Dutch and German-trained ophthalmologists to address the 18% vacancy gap by Q2 2024. Partner with VU University Medical Center Amsterdam for talent pipeline.</w:t>
      </w:r>
    </w:p>
    <w:p>
      <w:pPr>
        <w:numPr>
          <w:ilvl w:val="0"/>
          <w:numId w:val="1004"/>
        </w:numPr>
        <w:pStyle w:val="Compact"/>
      </w:pPr>
      <w:r>
        <w:rPr>
          <w:bCs/>
          <w:b/>
        </w:rPr>
        <w:t xml:space="preserve">Launch "Amsterdam Vision Health" Subscription:</w:t>
      </w:r>
      <w:r>
        <w:t xml:space="preserve"> </w:t>
      </w:r>
      <w:r>
        <w:t xml:space="preserve">Create a tiered membership (€99/month) covering bi-annual check-ups and priority scheduling – projected to generate €350k in recurring revenue.</w:t>
      </w:r>
    </w:p>
    <w:p>
      <w:pPr>
        <w:numPr>
          <w:ilvl w:val="0"/>
          <w:numId w:val="1004"/>
        </w:numPr>
        <w:pStyle w:val="Compact"/>
      </w:pPr>
      <w:r>
        <w:rPr>
          <w:bCs/>
          <w:b/>
        </w:rPr>
        <w:t xml:space="preserve">Leverage Amsterdam's Medical Tourism Hub Status:</w:t>
      </w:r>
      <w:r>
        <w:t xml:space="preserve"> </w:t>
      </w:r>
      <w:r>
        <w:t xml:space="preserve">Develop targeted marketing for EU residents seeking high-quality care, capitalizing on the Netherlands' 2023 medical tourism growth of 14.7%.</w:t>
      </w:r>
    </w:p>
    <w:bookmarkEnd w:id="25"/>
    <w:bookmarkStart w:id="26" w:name="vii.-conclusion"/>
    <w:p>
      <w:pPr>
        <w:pStyle w:val="Heading2"/>
      </w:pPr>
      <w:r>
        <w:t xml:space="preserve">VII. Conclusion</w:t>
      </w:r>
    </w:p>
    <w:p>
      <w:pPr>
        <w:pStyle w:val="FirstParagraph"/>
      </w:pPr>
      <w:r>
        <w:t xml:space="preserve">This Sales Report confirms that Amsterdam's position as a leading European healthcare hub provides exceptional opportunities for specialized ophthalmologist services. By aligning our clinical offerings with the city's demographic realities and leveraging the Netherlands' supportive insurance framework, we've established sustainable growth in a competitive market. The key to future success lies in deepening our integration within Amsterdam's healthcare ecosystem while innovating beyond traditional service models.</w:t>
      </w:r>
    </w:p>
    <w:p>
      <w:pPr>
        <w:pStyle w:val="BodyText"/>
      </w:pPr>
      <w:r>
        <w:t xml:space="preserve">As the only clinic in Netherlands Amsterdam offering full-spectrum ophthalmology with multilingual support and digital-first patient engagement, we are uniquely positioned to capture additional market share. With the proposed strategic initiatives implemented, we project 20% revenue growth for 2024 – solidifying our leadership in this high-value sector. The future of eye care in Amsterdam isn't just about vision correction; it's about becoming the central hub for comprehensive ocular health within the Netherlands and beyond.</w:t>
      </w:r>
    </w:p>
    <w:p>
      <w:pPr>
        <w:pStyle w:val="BodyText"/>
      </w:pPr>
      <w:r>
        <w:rPr>
          <w:bCs/>
          <w:b/>
        </w:rPr>
        <w:t xml:space="preserve">Prepared By:</w:t>
      </w:r>
      <w:r>
        <w:t xml:space="preserve"> </w:t>
      </w:r>
      <w:r>
        <w:t xml:space="preserve">Sales Analytics Department, Amsterdam Eye Clinic</w:t>
      </w:r>
      <w:r>
        <w:br/>
      </w:r>
      <w:r>
        <w:rPr>
          <w:bCs/>
          <w:b/>
        </w:rPr>
        <w:t xml:space="preserve">Contact:</w:t>
      </w:r>
      <w:r>
        <w:t xml:space="preserve"> </w:t>
      </w:r>
      <w:r>
        <w:t xml:space="preserve">sales@amsterdameyecare.nl | +31 (0)20 789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Ophthalmologist Services in Netherlands Amsterdam</dc:title>
  <dc:creator/>
  <dc:language>en</dc:language>
  <cp:keywords/>
  <dcterms:created xsi:type="dcterms:W3CDTF">2026-07-21T05:02:02Z</dcterms:created>
  <dcterms:modified xsi:type="dcterms:W3CDTF">2026-07-21T05:02:02Z</dcterms:modified>
</cp:coreProperties>
</file>

<file path=docProps/custom.xml><?xml version="1.0" encoding="utf-8"?>
<Properties xmlns="http://schemas.openxmlformats.org/officeDocument/2006/custom-properties" xmlns:vt="http://schemas.openxmlformats.org/officeDocument/2006/docPropsVTypes"/>
</file>