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37bfb37cf245908845c2058947d5ee219291384"/>
    <w:p>
      <w:pPr>
        <w:pStyle w:val="Heading1"/>
      </w:pPr>
      <w:r>
        <w:t xml:space="preserve">Comprehensive Ophthalmology Sales Report: New Zealand Auckland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Auckland Eye Care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provides a detailed analysis of ophthalmology service performance across New Zealand Auckland. As the premier eye care provider in the region, our practice has achieved a remarkable 18% year-over-year growth in patient consultations, reaching 42,750 annual visits. This success underscores the critical demand for specialized ophthalmological services within New Zealand's largest urban center. The report identifies key revenue drivers including cataract surgery (32% of total revenue), diabetic retinopathy screening (24%), and laser vision correction (19%), all demonstrating strong alignment with Auckland's demographic health needs.</w:t>
      </w:r>
    </w:p>
    <w:bookmarkEnd w:id="20"/>
    <w:bookmarkStart w:id="21" w:name="X5cdc712c579840127c659e6bee34c0f182a105d"/>
    <w:p>
      <w:pPr>
        <w:pStyle w:val="Heading2"/>
      </w:pPr>
      <w:r>
        <w:t xml:space="preserve">II. Market Context: Ophthalmology in New Zealand Auckland</w:t>
      </w:r>
    </w:p>
    <w:p>
      <w:pPr>
        <w:pStyle w:val="FirstParagraph"/>
      </w:pPr>
      <w:r>
        <w:t xml:space="preserve">New Zealand Auckland presents a unique ophthalmology landscape characterized by an aging population (17.3% aged 65+), rising diabetes prevalence (9.3% of adults), and significant geographic barriers in suburban regions like North Shore and Waitakere. As the only metropolitan area in New Zealand with over 1.6 million residents, Auckland accounts for 42% of all ophthalmology consultations nationally. This report confirms that our practice maintains a 28% market share in private eye care services within Auckland – significantly above the national average of 19%. The growing demand is particularly acute for age-related macular degeneration (AMD) management, where New Zealand's incidence rate is 32% higher than global averages due to high UV exposure levels.</w:t>
      </w:r>
    </w:p>
    <w:bookmarkEnd w:id="21"/>
    <w:bookmarkStart w:id="22" w:name="X08eb90b3ea12fa8d2ad639aae02b9061f323a78"/>
    <w:p>
      <w:pPr>
        <w:pStyle w:val="Heading2"/>
      </w:pPr>
      <w:r>
        <w:t xml:space="preserve">III. Sales Performance Breakdown (Q1-Q3 2023)</w:t>
      </w:r>
    </w:p>
    <w:p>
      <w:pPr>
        <w:pStyle w:val="FirstParagraph"/>
      </w:pPr>
      <w:r>
        <w:t xml:space="preserve">Service Category</w:t>
      </w:r>
    </w:p>
    <w:p>
      <w:pPr>
        <w:pStyle w:val="BodyText"/>
      </w:pPr>
      <w:r>
        <w:t xml:space="preserve">Consultations</w:t>
      </w:r>
    </w:p>
    <w:p>
      <w:pPr>
        <w:pStyle w:val="BodyText"/>
      </w:pPr>
      <w:r>
        <w:t xml:space="preserve">Revenue Generated ($NZ)</w:t>
      </w:r>
    </w:p>
    <w:p>
      <w:pPr>
        <w:pStyle w:val="BodyText"/>
      </w:pPr>
      <w:r>
        <w:t xml:space="preserve">Growth vs 2022</w:t>
      </w:r>
    </w:p>
    <w:p>
      <w:pPr>
        <w:pStyle w:val="BodyText"/>
      </w:pPr>
      <w:r>
        <w:t xml:space="preserve">Cataract Surgery</w:t>
      </w:r>
    </w:p>
    <w:p>
      <w:pPr>
        <w:pStyle w:val="BodyText"/>
      </w:pPr>
      <w:r>
        <w:t xml:space="preserve">11,850</w:t>
      </w:r>
    </w:p>
    <w:p>
      <w:pPr>
        <w:pStyle w:val="BodyText"/>
      </w:pPr>
      <w:r>
        <w:t xml:space="preserve">$9,480,000</w:t>
      </w:r>
    </w:p>
    <w:p>
      <w:pPr>
        <w:pStyle w:val="BodyText"/>
      </w:pPr>
      <w:r>
        <w:t xml:space="preserve">23%</w:t>
      </w:r>
    </w:p>
    <w:p>
      <w:pPr>
        <w:pStyle w:val="BodyText"/>
      </w:pPr>
      <w:r>
        <w:t xml:space="preserve">Diabetic Retinopathy Screening</w:t>
      </w:r>
    </w:p>
    <w:p>
      <w:pPr>
        <w:pStyle w:val="BodyText"/>
      </w:pPr>
      <w:r>
        <w:t xml:space="preserve">7,245</w:t>
      </w:r>
    </w:p>
    <w:p>
      <w:pPr>
        <w:pStyle w:val="BodyText"/>
      </w:pPr>
      <w:r>
        <w:t xml:space="preserve">$3,622,500</w:t>
      </w:r>
    </w:p>
    <w:p>
      <w:pPr>
        <w:pStyle w:val="BodyText"/>
      </w:pPr>
      <w:r>
        <w:t xml:space="preserve">Laser Vision Correction (LASIK/PRK)</w:t>
      </w:r>
    </w:p>
    <w:p>
      <w:pPr>
        <w:pStyle w:val="BodyText"/>
      </w:pPr>
      <w:r>
        <w:t xml:space="preserve">3,890</w:t>
      </w:r>
    </w:p>
    <w:p>
      <w:pPr>
        <w:pStyle w:val="BodyText"/>
      </w:pPr>
      <w:r>
        <w:t xml:space="preserve">$1,945,000</w:t>
      </w:r>
    </w:p>
    <w:p>
      <w:pPr>
        <w:pStyle w:val="BodyText"/>
      </w:pPr>
      <w:r>
        <w:t xml:space="preserve">17%</w:t>
      </w:r>
    </w:p>
    <w:p>
      <w:pPr>
        <w:pStyle w:val="BodyText"/>
      </w:pPr>
      <w:r>
        <w:t xml:space="preserve">Glaucoma Management</w:t>
      </w:r>
    </w:p>
    <w:p>
      <w:pPr>
        <w:pStyle w:val="BodyText"/>
      </w:pPr>
      <w:r>
        <w:t xml:space="preserve">5,628</w:t>
      </w:r>
    </w:p>
    <w:p>
      <w:pPr>
        <w:pStyle w:val="BodyText"/>
      </w:pPr>
      <w:r>
        <w:t xml:space="preserve">$2,346,250</w:t>
      </w:r>
    </w:p>
    <w:p>
      <w:pPr>
        <w:pStyle w:val="BodyText"/>
      </w:pPr>
      <w:r>
        <w:t xml:space="preserve">Retail Optics (Sunglasses/Lenses)</w:t>
      </w:r>
    </w:p>
    <w:p>
      <w:pPr>
        <w:pStyle w:val="BodyText"/>
      </w:pPr>
      <w:r>
        <w:t xml:space="preserve">18,970</w:t>
      </w:r>
    </w:p>
    <w:p>
      <w:pPr>
        <w:pStyle w:val="BodyText"/>
      </w:pPr>
      <w:r>
        <w:t xml:space="preserve">$1,897,000</w:t>
      </w:r>
    </w:p>
    <w:p>
      <w:pPr>
        <w:pStyle w:val="BodyText"/>
      </w:pPr>
      <w:r>
        <w:t xml:space="preserve">Total</w:t>
      </w:r>
    </w:p>
    <w:p>
      <w:pPr>
        <w:pStyle w:val="BodyText"/>
      </w:pPr>
      <w:r>
        <w:t xml:space="preserve">42,750</w:t>
      </w:r>
    </w:p>
    <w:p>
      <w:pPr>
        <w:pStyle w:val="BodyText"/>
      </w:pPr>
      <w:r>
        <w:t xml:space="preserve">$19,356,250</w:t>
      </w:r>
    </w:p>
    <w:p>
      <w:pPr>
        <w:pStyle w:val="BodyText"/>
      </w:pPr>
      <w:r>
        <w:t xml:space="preserve">18%</w:t>
      </w:r>
    </w:p>
    <w:p>
      <w:pPr>
        <w:pStyle w:val="BodyText"/>
      </w:pPr>
      <w:r>
        <w:t xml:space="preserve">The 18% overall growth demonstrates exceptional market penetration. Notably, diabetic retinopathy screening revenue increased by 27% following our partnership with Auckland District Health Board (ADHB), securing 350 new government-funded patients quarterly. This strategic alliance has positioned us as the preferred provider for comprehensive diabetic eye care across New Zealand's most populous region.</w:t>
      </w:r>
    </w:p>
    <w:bookmarkEnd w:id="22"/>
    <w:bookmarkStart w:id="23" w:name="X9c5b4c72edb6dcc9b62a1fe5ca66090e8fa21df"/>
    <w:p>
      <w:pPr>
        <w:pStyle w:val="Heading2"/>
      </w:pPr>
      <w:r>
        <w:t xml:space="preserve">IV. Geographic Sales Performance Within Auckland</w:t>
      </w:r>
    </w:p>
    <w:p>
      <w:pPr>
        <w:pStyle w:val="FirstParagraph"/>
      </w:pPr>
      <w:r>
        <w:t xml:space="preserve">Our sales data reveals distinct regional patterns:</w:t>
      </w:r>
    </w:p>
    <w:p>
      <w:pPr>
        <w:numPr>
          <w:ilvl w:val="0"/>
          <w:numId w:val="1001"/>
        </w:numPr>
        <w:pStyle w:val="Compact"/>
      </w:pPr>
      <w:r>
        <w:rPr>
          <w:bCs/>
          <w:b/>
        </w:rPr>
        <w:t xml:space="preserve">Central Auckland:</w:t>
      </w:r>
      <w:r>
        <w:t xml:space="preserve"> </w:t>
      </w:r>
      <w:r>
        <w:t xml:space="preserve">41% of all consultations (highest concentration of aged care facilities and specialty hospitals)</w:t>
      </w:r>
    </w:p>
    <w:p>
      <w:pPr>
        <w:numPr>
          <w:ilvl w:val="0"/>
          <w:numId w:val="1001"/>
        </w:numPr>
        <w:pStyle w:val="Compact"/>
      </w:pPr>
      <w:r>
        <w:rPr>
          <w:bCs/>
          <w:b/>
        </w:rPr>
        <w:t xml:space="preserve">North Shore:</w:t>
      </w:r>
      <w:r>
        <w:t xml:space="preserve"> </w:t>
      </w:r>
      <w:r>
        <w:t xml:space="preserve">29% growth in laser vision correction due to rising demand from corporate professionals</w:t>
      </w:r>
    </w:p>
    <w:p>
      <w:pPr>
        <w:numPr>
          <w:ilvl w:val="0"/>
          <w:numId w:val="1001"/>
        </w:numPr>
        <w:pStyle w:val="Compact"/>
      </w:pPr>
      <w:r>
        <w:rPr>
          <w:bCs/>
          <w:b/>
        </w:rPr>
        <w:t xml:space="preserve">South Auckland (Manukau):</w:t>
      </w:r>
      <w:r>
        <w:t xml:space="preserve"> </w:t>
      </w:r>
      <w:r>
        <w:t xml:space="preserve">38% increase in diabetic screening services, driven by Māori and Pacific Islander community initiatives</w:t>
      </w:r>
    </w:p>
    <w:p>
      <w:pPr>
        <w:numPr>
          <w:ilvl w:val="0"/>
          <w:numId w:val="1001"/>
        </w:numPr>
        <w:pStyle w:val="Compact"/>
      </w:pPr>
      <w:r>
        <w:rPr>
          <w:bCs/>
          <w:b/>
        </w:rPr>
        <w:t xml:space="preserve">Rural Outposts (Waitakere/Rothesay):</w:t>
      </w:r>
      <w:r>
        <w:t xml:space="preserve"> </w:t>
      </w:r>
      <w:r>
        <w:t xml:space="preserve">22% growth in teleophthalmology consultations via our mobile clinics, addressing geographic barriers</w:t>
      </w:r>
    </w:p>
    <w:bookmarkEnd w:id="23"/>
    <w:bookmarkStart w:id="24" w:name="X297d2b7741e8e3ad19f221159944d47f9023da2"/>
    <w:p>
      <w:pPr>
        <w:pStyle w:val="Heading2"/>
      </w:pPr>
      <w:r>
        <w:t xml:space="preserve">V. Key Marketing Strategies Driving Sales Growth</w:t>
      </w:r>
    </w:p>
    <w:p>
      <w:pPr>
        <w:pStyle w:val="FirstParagraph"/>
      </w:pPr>
      <w:r>
        <w:t xml:space="preserve">Our success in New Zealand Auckland stems from three targeted initiatives:</w:t>
      </w:r>
    </w:p>
    <w:p>
      <w:pPr>
        <w:numPr>
          <w:ilvl w:val="0"/>
          <w:numId w:val="1002"/>
        </w:numPr>
        <w:pStyle w:val="Compact"/>
      </w:pPr>
      <w:r>
        <w:rPr>
          <w:bCs/>
          <w:b/>
        </w:rPr>
        <w:t xml:space="preserve">Community Health Partnerships:</w:t>
      </w:r>
      <w:r>
        <w:t xml:space="preserve"> </w:t>
      </w:r>
      <w:r>
        <w:t xml:space="preserve">Collaborating with 14 Māori health providers (e.g., Te Aka Whai Ora) to deliver free screening camps, generating 1,200 new patient leads monthly. This approach aligns with New Zealand's Ministry of Health's</w:t>
      </w:r>
      <w:r>
        <w:t xml:space="preserve"> </w:t>
      </w:r>
      <w:r>
        <w:rPr>
          <w:iCs/>
          <w:i/>
        </w:rPr>
        <w:t xml:space="preserve">Māori Vision Strategy</w:t>
      </w:r>
      <w:r>
        <w:t xml:space="preserve">, significantly improving our community standing.</w:t>
      </w:r>
    </w:p>
    <w:p>
      <w:pPr>
        <w:numPr>
          <w:ilvl w:val="0"/>
          <w:numId w:val="1002"/>
        </w:numPr>
        <w:pStyle w:val="Compact"/>
      </w:pPr>
      <w:r>
        <w:rPr>
          <w:bCs/>
          <w:b/>
        </w:rPr>
        <w:t xml:space="preserve">Technology Adoption:</w:t>
      </w:r>
      <w:r>
        <w:t xml:space="preserve"> </w:t>
      </w:r>
      <w:r>
        <w:t xml:space="preserve">Implementation of AI retinal analysis software (approved by MedTech New Zealand) reduced diagnostic time by 37%, accelerating patient throughput in Auckland clinics and boosting service capacity by 22%.</w:t>
      </w:r>
    </w:p>
    <w:p>
      <w:pPr>
        <w:numPr>
          <w:ilvl w:val="0"/>
          <w:numId w:val="1002"/>
        </w:numPr>
        <w:pStyle w:val="Compact"/>
      </w:pPr>
      <w:r>
        <w:rPr>
          <w:bCs/>
          <w:b/>
        </w:rPr>
        <w:t xml:space="preserve">Premium Patient Experience:</w:t>
      </w:r>
      <w:r>
        <w:t xml:space="preserve"> </w:t>
      </w:r>
      <w:r>
        <w:t xml:space="preserve">Launching our 'Auckland Eye Concierge' program offering same-day appointments, transport assistance for rural patients, and bicultural (Māori/English) care coordination – resulting in 89% patient retention rate.</w:t>
      </w:r>
    </w:p>
    <w:bookmarkEnd w:id="24"/>
    <w:bookmarkStart w:id="25" w:name="Xb80fedfc8c4406cffe71a69d7ea327b16bef74e"/>
    <w:p>
      <w:pPr>
        <w:pStyle w:val="Heading2"/>
      </w:pPr>
      <w:r>
        <w:t xml:space="preserve">VI. Challenges Facing Ophthalmologists in New Zealand Auckland</w:t>
      </w:r>
    </w:p>
    <w:p>
      <w:pPr>
        <w:pStyle w:val="FirstParagraph"/>
      </w:pPr>
      <w:r>
        <w:t xml:space="preserve">Despite growth, significant challenges persist:</w:t>
      </w:r>
    </w:p>
    <w:p>
      <w:pPr>
        <w:numPr>
          <w:ilvl w:val="0"/>
          <w:numId w:val="1003"/>
        </w:numPr>
        <w:pStyle w:val="Compact"/>
      </w:pPr>
      <w:r>
        <w:rPr>
          <w:bCs/>
          <w:b/>
        </w:rPr>
        <w:t xml:space="preserve">Workforce Shortages:</w:t>
      </w:r>
      <w:r>
        <w:t xml:space="preserve"> </w:t>
      </w:r>
      <w:r>
        <w:t xml:space="preserve">47% of ophthalmology positions remain unfilled due to national physician shortages, limiting service capacity despite high demand.</w:t>
      </w:r>
    </w:p>
    <w:p>
      <w:pPr>
        <w:numPr>
          <w:ilvl w:val="0"/>
          <w:numId w:val="1003"/>
        </w:numPr>
        <w:pStyle w:val="Compact"/>
      </w:pPr>
      <w:r>
        <w:rPr>
          <w:bCs/>
          <w:b/>
        </w:rPr>
        <w:t xml:space="preserve">Coverage Gaps:</w:t>
      </w:r>
      <w:r>
        <w:t xml:space="preserve"> </w:t>
      </w:r>
      <w:r>
        <w:t xml:space="preserve">Only 12% of Auckland's population has access to specialized eye care within 30 minutes, creating market opportunities for expansion in North Shore and East Tamaki.</w:t>
      </w:r>
    </w:p>
    <w:p>
      <w:pPr>
        <w:numPr>
          <w:ilvl w:val="0"/>
          <w:numId w:val="1003"/>
        </w:numPr>
        <w:pStyle w:val="Compact"/>
      </w:pPr>
      <w:r>
        <w:rPr>
          <w:bCs/>
          <w:b/>
        </w:rPr>
        <w:t xml:space="preserve">Regulatory Constraints:</w:t>
      </w:r>
      <w:r>
        <w:t xml:space="preserve"> </w:t>
      </w:r>
      <w:r>
        <w:t xml:space="preserve">New Zealand's Health Practitioners Competence Assurance Act (HPCA) requires additional clinical hours for overseas-trained ophthalmologists, delaying recruitment by 14-18 months.</w:t>
      </w:r>
    </w:p>
    <w:bookmarkEnd w:id="25"/>
    <w:bookmarkStart w:id="26" w:name="Xf4fcd4644df58cc53e3b203b6979b76d2e86c1f"/>
    <w:p>
      <w:pPr>
        <w:pStyle w:val="Heading2"/>
      </w:pPr>
      <w:r>
        <w:t xml:space="preserve">VII. Strategic Opportunities for Ophthalmologist Practice Expansion</w:t>
      </w:r>
    </w:p>
    <w:p>
      <w:pPr>
        <w:pStyle w:val="FirstParagraph"/>
      </w:pPr>
      <w:r>
        <w:t xml:space="preserve">Based on current market data, we recommend three priority initiatives:</w:t>
      </w:r>
    </w:p>
    <w:p>
      <w:pPr>
        <w:numPr>
          <w:ilvl w:val="0"/>
          <w:numId w:val="1004"/>
        </w:numPr>
        <w:pStyle w:val="Compact"/>
      </w:pPr>
      <w:r>
        <w:rPr>
          <w:bCs/>
          <w:b/>
        </w:rPr>
        <w:t xml:space="preserve">Establish Auckland's First Dedicated AMD Clinic:</w:t>
      </w:r>
      <w:r>
        <w:t xml:space="preserve"> </w:t>
      </w:r>
      <w:r>
        <w:t xml:space="preserve">Addressing the 14% annual incidence rate among Auckland seniors through specialized multidisciplinary care.</w:t>
      </w:r>
    </w:p>
    <w:p>
      <w:pPr>
        <w:numPr>
          <w:ilvl w:val="0"/>
          <w:numId w:val="1004"/>
        </w:numPr>
        <w:pStyle w:val="Compact"/>
      </w:pPr>
      <w:r>
        <w:rPr>
          <w:bCs/>
          <w:b/>
        </w:rPr>
        <w:t xml:space="preserve">Expand Teleophthalmology Services:</w:t>
      </w:r>
      <w:r>
        <w:t xml:space="preserve"> </w:t>
      </w:r>
      <w:r>
        <w:t xml:space="preserve">Partnering with rural health clinics to service 5,000+ patients in Western Waikato and Coromandel regions by Q2 2024.</w:t>
      </w:r>
    </w:p>
    <w:p>
      <w:pPr>
        <w:numPr>
          <w:ilvl w:val="0"/>
          <w:numId w:val="1004"/>
        </w:numPr>
        <w:pStyle w:val="Compact"/>
      </w:pPr>
      <w:r>
        <w:rPr>
          <w:bCs/>
          <w:b/>
        </w:rPr>
        <w:t xml:space="preserve">Leverage New Zealand's National Eye Health Plan:</w:t>
      </w:r>
      <w:r>
        <w:t xml:space="preserve"> </w:t>
      </w:r>
      <w:r>
        <w:t xml:space="preserve">Securing government funding for preventative care programs targeting high-risk communities identified through Auckland DHB data.</w:t>
      </w:r>
    </w:p>
    <w:bookmarkEnd w:id="26"/>
    <w:bookmarkStart w:id="27" w:name="viii.-conclusion-and-forward-strategy"/>
    <w:p>
      <w:pPr>
        <w:pStyle w:val="Heading2"/>
      </w:pPr>
      <w:r>
        <w:t xml:space="preserve">VIII. Conclusion and Forward Strategy</w:t>
      </w:r>
    </w:p>
    <w:p>
      <w:pPr>
        <w:pStyle w:val="FirstParagraph"/>
      </w:pPr>
      <w:r>
        <w:t xml:space="preserve">This Sales Report confirms that ophthalmology services remain critically underserved in New Zealand Auckland, with our practice positioned as the market leader. The 18% growth trajectory demonstrates strong patient demand for quality eye care across all demographics. To sustain this momentum, we recommend:</w:t>
      </w:r>
    </w:p>
    <w:p>
      <w:pPr>
        <w:numPr>
          <w:ilvl w:val="0"/>
          <w:numId w:val="1005"/>
        </w:numPr>
        <w:pStyle w:val="Compact"/>
      </w:pPr>
      <w:r>
        <w:t xml:space="preserve">Investing $1.2 million in new ophthalmologist recruitment (target: 3 additional specialists by December 2023)</w:t>
      </w:r>
    </w:p>
    <w:p>
      <w:pPr>
        <w:numPr>
          <w:ilvl w:val="0"/>
          <w:numId w:val="1005"/>
        </w:numPr>
        <w:pStyle w:val="Compact"/>
      </w:pPr>
      <w:r>
        <w:t xml:space="preserve">Expanding telehealth capacity to cover 85% of Auckland's population within 18 months</w:t>
      </w:r>
    </w:p>
    <w:p>
      <w:pPr>
        <w:numPr>
          <w:ilvl w:val="0"/>
          <w:numId w:val="1005"/>
        </w:numPr>
        <w:pStyle w:val="Compact"/>
      </w:pPr>
      <w:r>
        <w:t xml:space="preserve">Developing Māori-led eye health programs aligned with New Zealand's Vision Strategy</w:t>
      </w:r>
    </w:p>
    <w:p>
      <w:pPr>
        <w:pStyle w:val="FirstParagraph"/>
      </w:pPr>
      <w:r>
        <w:t xml:space="preserve">The ophthalmologist profession in New Zealand Auckland faces a pivotal opportunity to transform community eye health outcomes. Our data shows that every $1 invested in preventative care yields $3.70 in long-term cost savings for the public health system, making our sales growth not just commercially successful but socially imperative. By focusing on accessibility, cultural competence, and technological innovation – as demonstrated through our recent partnerships – this practice will continue to lead the ophthalmology sector across New Zealand Auckland while setting national benchmarks for patient-centered eye care.</w:t>
      </w:r>
    </w:p>
    <w:p>
      <w:pPr>
        <w:pStyle w:val="BodyText"/>
      </w:pPr>
      <w:r>
        <w:rPr>
          <w:bCs/>
          <w:b/>
        </w:rPr>
        <w:t xml:space="preserve">Prepared by:</w:t>
      </w:r>
      <w:r>
        <w:t xml:space="preserve"> </w:t>
      </w:r>
      <w:r>
        <w:t xml:space="preserve">Dr. Eleanor Chen, Chief Revenue Officer</w:t>
      </w:r>
      <w:r>
        <w:br/>
      </w:r>
      <w:r>
        <w:rPr>
          <w:bCs/>
          <w:b/>
        </w:rPr>
        <w:t xml:space="preserve">Practice:</w:t>
      </w:r>
      <w:r>
        <w:t xml:space="preserve"> </w:t>
      </w:r>
      <w:r>
        <w:t xml:space="preserve">Auckland Eye Care Network (ACEN)</w:t>
      </w:r>
      <w:r>
        <w:br/>
      </w:r>
      <w:r>
        <w:rPr>
          <w:bCs/>
          <w:b/>
        </w:rPr>
        <w:t xml:space="preserve">Contact:</w:t>
      </w:r>
      <w:r>
        <w:t xml:space="preserve"> </w:t>
      </w:r>
      <w:r>
        <w:t xml:space="preserve">e.chen@acen.nz | +64 9 355 7800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New Zealand Auckland</dc:title>
  <dc:creator/>
  <dc:language>en</dc:language>
  <cp:keywords/>
  <dcterms:created xsi:type="dcterms:W3CDTF">2025-12-11T06:04:55Z</dcterms:created>
  <dcterms:modified xsi:type="dcterms:W3CDTF">2025-12-11T06:04:55Z</dcterms:modified>
</cp:coreProperties>
</file>

<file path=docProps/custom.xml><?xml version="1.0" encoding="utf-8"?>
<Properties xmlns="http://schemas.openxmlformats.org/officeDocument/2006/custom-properties" xmlns:vt="http://schemas.openxmlformats.org/officeDocument/2006/docPropsVTypes"/>
</file>