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w:t>
      </w:r>
      <w:r>
        <w:t xml:space="preserve"> </w:t>
      </w:r>
      <w:r>
        <w:t xml:space="preserve">Islamabad,</w:t>
      </w:r>
      <w:r>
        <w:t xml:space="preserve"> </w:t>
      </w:r>
      <w:r>
        <w:t xml:space="preserve">Pakistan</w:t>
      </w:r>
    </w:p>
    <w:bookmarkStart w:id="31" w:name="X40fb1fd3e2e155fa39b1c3be8875ce58585e946"/>
    <w:p>
      <w:pPr>
        <w:pStyle w:val="Heading1"/>
      </w:pPr>
      <w:r>
        <w:t xml:space="preserve">ANNUAL SALES REPORT: OPHTHALMOLOGY SERVICES - ISLAMABAD, PAKISTAN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Board of Directors, Islamabad Eye Care Network |</w:t>
      </w:r>
      <w:r>
        <w:t xml:space="preserve"> </w:t>
      </w:r>
      <w:r>
        <w:rPr>
          <w:bCs/>
          <w:b/>
        </w:rPr>
        <w:t xml:space="preserve">Prepared By:</w:t>
      </w:r>
      <w:r>
        <w:t xml:space="preserve"> </w:t>
      </w:r>
      <w:r>
        <w:t xml:space="preserve">Sales &amp; Marketing Department</w:t>
      </w:r>
    </w:p>
    <w:bookmarkStart w:id="20" w:name="i.-executive-summary"/>
    <w:p>
      <w:pPr>
        <w:pStyle w:val="Heading2"/>
      </w:pPr>
      <w:r>
        <w:t xml:space="preserve">I. Executive Summary</w:t>
      </w:r>
    </w:p>
    <w:p>
      <w:pPr>
        <w:pStyle w:val="FirstParagraph"/>
      </w:pPr>
      <w:r>
        <w:t xml:space="preserve">This comprehensive Sales Report details the performance of ophthalmology services across our flagship clinics in Islamabad, Pakistan during the fiscal year 2023. The report demonstrates a 18.7% year-over-year growth in patient consultations and a significant 24.3% increase in revenue from premium ophthalmic procedures, solidifying our position as the leading eye care provider in Pakistan's capital city. Notably, our strategic focus on advanced cataract surgery and pediatric ophthalmology has driven exceptional sales performance in Islamabad's competitive healthcare market.</w:t>
      </w:r>
    </w:p>
    <w:p>
      <w:pPr>
        <w:pStyle w:val="BodyText"/>
      </w:pPr>
      <w:r>
        <w:rPr>
          <w:bCs/>
          <w:b/>
        </w:rPr>
        <w:t xml:space="preserve">Key Achievement:</w:t>
      </w:r>
      <w:r>
        <w:t xml:space="preserve"> </w:t>
      </w:r>
      <w:r>
        <w:t xml:space="preserve">For the first time in Pakistan Islamabad's medical history, we have achieved over 50,000 patient consultations within a single fiscal year. This milestone reflects our successful integration of tele-ophthalmology services with traditional clinical models, addressing critical healthcare access gaps across Islamabad's diverse population.</w:t>
      </w:r>
    </w:p>
    <w:bookmarkEnd w:id="20"/>
    <w:bookmarkStart w:id="21" w:name="Xe08a8f8bc75852e834a772a124b076ac4808a35"/>
    <w:p>
      <w:pPr>
        <w:pStyle w:val="Heading2"/>
      </w:pPr>
      <w:r>
        <w:t xml:space="preserve">II. Market Context: Ophthalmology Landscape in Pakistan Islamabad</w:t>
      </w:r>
    </w:p>
    <w:p>
      <w:pPr>
        <w:pStyle w:val="FirstParagraph"/>
      </w:pPr>
      <w:r>
        <w:t xml:space="preserve">Islamabad, as the administrative capital of Pakistan, presents a unique market for ophthalmology services with distinct characteristics. The city houses over 15 million residents across urban and peri-urban areas, with an aging population (12.3% aged 60+) significantly increasing demand for cataract and glaucoma management. According to the Pakistan National Eye Health Survey (2022), Islamabad has a cataract surgical rate of 185 per 100,000 – below the WHO's recommended rate of 5,579 – indicating substantial market potential we have strategically capitalized on.</w:t>
      </w:r>
    </w:p>
    <w:p>
      <w:pPr>
        <w:pStyle w:val="BodyText"/>
      </w:pPr>
      <w:r>
        <w:t xml:space="preserve">Key factors influencing our Sales Report include:</w:t>
      </w:r>
    </w:p>
    <w:p>
      <w:pPr>
        <w:numPr>
          <w:ilvl w:val="0"/>
          <w:numId w:val="1001"/>
        </w:numPr>
        <w:pStyle w:val="Compact"/>
      </w:pPr>
      <w:r>
        <w:rPr>
          <w:bCs/>
          <w:b/>
        </w:rPr>
        <w:t xml:space="preserve">Government Initiatives:</w:t>
      </w:r>
      <w:r>
        <w:t xml:space="preserve"> </w:t>
      </w:r>
      <w:r>
        <w:t xml:space="preserve">Partnership with Punjab Health Department's "Safal Nazar" program for subsidized cataract surgeries</w:t>
      </w:r>
    </w:p>
    <w:p>
      <w:pPr>
        <w:numPr>
          <w:ilvl w:val="0"/>
          <w:numId w:val="1001"/>
        </w:numPr>
        <w:pStyle w:val="Compact"/>
      </w:pPr>
      <w:r>
        <w:rPr>
          <w:bCs/>
          <w:b/>
        </w:rPr>
        <w:t xml:space="preserve">Demographic Shifts:</w:t>
      </w:r>
      <w:r>
        <w:t xml:space="preserve"> </w:t>
      </w:r>
      <w:r>
        <w:t xml:space="preserve">Rising middle-class population (62% of Islamabad residents) seeking premium eye care services</w:t>
      </w:r>
    </w:p>
    <w:p>
      <w:pPr>
        <w:numPr>
          <w:ilvl w:val="0"/>
          <w:numId w:val="1001"/>
        </w:numPr>
        <w:pStyle w:val="Compact"/>
      </w:pPr>
      <w:r>
        <w:rPr>
          <w:bCs/>
          <w:b/>
        </w:rPr>
        <w:t xml:space="preserve">Technological Adoption:</w:t>
      </w:r>
      <w:r>
        <w:t xml:space="preserve"> </w:t>
      </w:r>
      <w:r>
        <w:t xml:space="preserve">Increasing demand for laser vision correction among professionals aged 25-45</w:t>
      </w:r>
    </w:p>
    <w:bookmarkEnd w:id="21"/>
    <w:bookmarkStart w:id="24" w:name="iii.-sales-performance-analysis-fy-2023"/>
    <w:p>
      <w:pPr>
        <w:pStyle w:val="Heading2"/>
      </w:pPr>
      <w:r>
        <w:t xml:space="preserve">III. Sales Performance Analysis (FY 2023)</w:t>
      </w:r>
    </w:p>
    <w:bookmarkStart w:id="22" w:name="a.-revenue-streams-breakdown"/>
    <w:p>
      <w:pPr>
        <w:pStyle w:val="Heading3"/>
      </w:pPr>
      <w:r>
        <w:t xml:space="preserve">A. Revenue Streams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2022 Revenue (PKR)</w:t>
            </w:r>
          </w:p>
        </w:tc>
        <w:tc>
          <w:tcPr/>
          <w:p>
            <w:pPr>
              <w:pStyle w:val="Compact"/>
              <w:jc w:val="left"/>
            </w:pPr>
            <w:r>
              <w:t xml:space="preserve">2023 Revenue (PKR)</w:t>
            </w:r>
          </w:p>
        </w:tc>
        <w:tc>
          <w:tcPr/>
          <w:p>
            <w:pPr>
              <w:pStyle w:val="Compact"/>
              <w:jc w:val="left"/>
            </w:pPr>
            <w:r>
              <w:t xml:space="preserve">% Growth</w:t>
            </w:r>
          </w:p>
        </w:tc>
      </w:tr>
      <w:tr>
        <w:tc>
          <w:tcPr/>
          <w:p>
            <w:pPr>
              <w:pStyle w:val="Compact"/>
              <w:jc w:val="left"/>
            </w:pPr>
            <w:r>
              <w:t xml:space="preserve">Cataract Surgery</w:t>
            </w:r>
          </w:p>
        </w:tc>
        <w:tc>
          <w:tcPr/>
          <w:p>
            <w:pPr>
              <w:pStyle w:val="Compact"/>
              <w:jc w:val="left"/>
            </w:pPr>
            <w:r>
              <w:t xml:space="preserve">185,500,000</w:t>
            </w:r>
          </w:p>
        </w:tc>
        <w:tc>
          <w:tcPr/>
          <w:p>
            <w:pPr>
              <w:pStyle w:val="Compact"/>
              <w:jc w:val="left"/>
            </w:pPr>
            <w:r>
              <w:t xml:space="preserve">234,765,243</w:t>
            </w:r>
          </w:p>
        </w:tc>
        <w:tc>
          <w:tcPr/>
          <w:p>
            <w:pPr>
              <w:pStyle w:val="Compact"/>
              <w:jc w:val="left"/>
            </w:pPr>
            <w:r>
              <w:t xml:space="preserve">26.5%</w:t>
            </w:r>
          </w:p>
        </w:tc>
      </w:tr>
      <w:tr>
        <w:tc>
          <w:tcPr/>
          <w:p>
            <w:pPr>
              <w:pStyle w:val="Compact"/>
              <w:jc w:val="left"/>
            </w:pPr>
            <w:r>
              <w:t xml:space="preserve">Laser Vision Correction (LASIK/PRK)</w:t>
            </w:r>
          </w:p>
        </w:tc>
        <w:tc>
          <w:tcPr/>
          <w:p>
            <w:pPr>
              <w:pStyle w:val="Compact"/>
              <w:jc w:val="left"/>
            </w:pPr>
            <w:r>
              <w:t xml:space="preserve">89,300,000</w:t>
            </w:r>
          </w:p>
        </w:tc>
        <w:tc>
          <w:tcPr/>
          <w:p>
            <w:pPr>
              <w:pStyle w:val="Compact"/>
              <w:jc w:val="left"/>
            </w:pPr>
            <w:r>
              <w:t xml:space="preserve">112,456,892</w:t>
            </w:r>
          </w:p>
        </w:tc>
        <w:tc>
          <w:tcPr/>
          <w:p>
            <w:pPr>
              <w:pStyle w:val="Compact"/>
              <w:jc w:val="left"/>
            </w:pPr>
            <w:r>
              <w:t xml:space="preserve">25.9%</w:t>
            </w:r>
          </w:p>
        </w:tc>
      </w:tr>
      <w:tr>
        <w:tc>
          <w:tcPr/>
          <w:p>
            <w:pPr>
              <w:pStyle w:val="Compact"/>
              <w:jc w:val="left"/>
            </w:pPr>
            <w:r>
              <w:t xml:space="preserve">Glaucoma Management</w:t>
            </w:r>
          </w:p>
        </w:tc>
        <w:tc>
          <w:tcPr/>
          <w:p>
            <w:pPr>
              <w:pStyle w:val="Compact"/>
              <w:jc w:val="left"/>
            </w:pPr>
            <w:r>
              <w:t xml:space="preserve">47,800,000</w:t>
            </w:r>
          </w:p>
        </w:tc>
        <w:tc>
          <w:tcPr/>
          <w:p>
            <w:pPr>
              <w:pStyle w:val="Compact"/>
              <w:jc w:val="left"/>
            </w:pPr>
            <w:r>
              <w:t xml:space="preserve">53,164,321</w:t>
            </w:r>
          </w:p>
        </w:tc>
        <w:tc>
          <w:tcPr/>
          <w:p>
            <w:pPr>
              <w:pStyle w:val="Compact"/>
              <w:jc w:val="left"/>
            </w:pPr>
            <w:r>
              <w:t xml:space="preserve">11.2%</w:t>
            </w:r>
          </w:p>
        </w:tc>
      </w:tr>
      <w:tr>
        <w:tc>
          <w:tcPr/>
          <w:p>
            <w:pPr>
              <w:pStyle w:val="Compact"/>
              <w:jc w:val="left"/>
            </w:pPr>
            <w:r>
              <w:t xml:space="preserve">Pediatric Ophthalmology</w:t>
            </w:r>
          </w:p>
        </w:tc>
        <w:tc>
          <w:tcPr/>
          <w:p>
            <w:pPr>
              <w:pStyle w:val="Compact"/>
              <w:jc w:val="left"/>
            </w:pPr>
            <w:r>
              <w:t xml:space="preserve">32,600,000</w:t>
            </w:r>
          </w:p>
        </w:tc>
        <w:tc>
          <w:tcPr/>
          <w:p>
            <w:pPr>
              <w:pStyle w:val="Compact"/>
              <w:jc w:val="left"/>
            </w:pPr>
            <w:r>
              <w:t xml:space="preserve">48,975,416</w:t>
            </w:r>
          </w:p>
        </w:tc>
        <w:tc>
          <w:tcPr/>
          <w:p>
            <w:pPr>
              <w:pStyle w:val="Compact"/>
              <w:jc w:val="left"/>
            </w:pPr>
            <w:r>
              <w:t xml:space="preserve">50.2%</w:t>
            </w:r>
          </w:p>
        </w:tc>
      </w:tr>
      <w:tr>
        <w:tc>
          <w:tcPr/>
          <w:p>
            <w:pPr>
              <w:pStyle w:val="Compact"/>
              <w:jc w:val="left"/>
            </w:pPr>
            <w:r>
              <w:rPr>
                <w:bCs/>
                <w:b/>
              </w:rPr>
              <w:t xml:space="preserve">Total Revenue</w:t>
            </w:r>
          </w:p>
        </w:tc>
        <w:tc>
          <w:tcPr/>
          <w:p>
            <w:pPr>
              <w:pStyle w:val="Compact"/>
              <w:jc w:val="left"/>
            </w:pPr>
            <w:r>
              <w:rPr>
                <w:bCs/>
                <w:b/>
              </w:rPr>
              <w:t xml:space="preserve">355,200,000</w:t>
            </w:r>
          </w:p>
        </w:tc>
        <w:tc>
          <w:tcPr/>
          <w:p>
            <w:pPr>
              <w:pStyle w:val="Compact"/>
              <w:jc w:val="left"/>
            </w:pPr>
            <w:r>
              <w:rPr>
                <w:bCs/>
                <w:b/>
              </w:rPr>
              <w:t xml:space="preserve">449,361,872</w:t>
            </w:r>
          </w:p>
        </w:tc>
        <w:tc>
          <w:tcPr/>
          <w:p>
            <w:pPr>
              <w:pStyle w:val="Compact"/>
              <w:jc w:val="left"/>
            </w:pPr>
            <w:r>
              <w:rPr>
                <w:bCs/>
                <w:b/>
              </w:rPr>
              <w:t xml:space="preserve">26.5%</w:t>
            </w:r>
          </w:p>
        </w:tc>
      </w:tr>
    </w:tbl>
    <w:bookmarkEnd w:id="22"/>
    <w:bookmarkStart w:id="23" w:name="b.-patient-acquisition-retention"/>
    <w:p>
      <w:pPr>
        <w:pStyle w:val="Heading3"/>
      </w:pPr>
      <w:r>
        <w:t xml:space="preserve">B. Patient Acquisition &amp; Retention</w:t>
      </w:r>
    </w:p>
    <w:p>
      <w:pPr>
        <w:pStyle w:val="FirstParagraph"/>
      </w:pPr>
      <w:r>
        <w:t xml:space="preserve">Our Sales Report reveals significant success in patient acquisition strategies tailored for Islamabad's healthcare consumers:</w:t>
      </w:r>
    </w:p>
    <w:p>
      <w:pPr>
        <w:numPr>
          <w:ilvl w:val="0"/>
          <w:numId w:val="1002"/>
        </w:numPr>
        <w:pStyle w:val="Compact"/>
      </w:pPr>
      <w:r>
        <w:rPr>
          <w:bCs/>
          <w:b/>
        </w:rPr>
        <w:t xml:space="preserve">Referral Network Growth:</w:t>
      </w:r>
      <w:r>
        <w:t xml:space="preserve"> </w:t>
      </w:r>
      <w:r>
        <w:t xml:space="preserve">42% of new patients referred through trusted primary care physicians across Islamabad (up from 28% in 2022)</w:t>
      </w:r>
    </w:p>
    <w:p>
      <w:pPr>
        <w:numPr>
          <w:ilvl w:val="0"/>
          <w:numId w:val="1002"/>
        </w:numPr>
        <w:pStyle w:val="Compact"/>
      </w:pPr>
      <w:r>
        <w:rPr>
          <w:bCs/>
          <w:b/>
        </w:rPr>
        <w:t xml:space="preserve">Tele-Ophthalmology Impact:</w:t>
      </w:r>
      <w:r>
        <w:t xml:space="preserve"> </w:t>
      </w:r>
      <w:r>
        <w:t xml:space="preserve">Remote consultations increased patient access by 37%, particularly in Rawalpindi satellite cities</w:t>
      </w:r>
    </w:p>
    <w:p>
      <w:pPr>
        <w:numPr>
          <w:ilvl w:val="0"/>
          <w:numId w:val="1002"/>
        </w:numPr>
        <w:pStyle w:val="Compact"/>
      </w:pPr>
      <w:r>
        <w:rPr>
          <w:bCs/>
          <w:b/>
        </w:rPr>
        <w:t xml:space="preserve">Corporate Wellness Partnerships:</w:t>
      </w:r>
      <w:r>
        <w:t xml:space="preserve"> </w:t>
      </w:r>
      <w:r>
        <w:t xml:space="preserve">Secured contracts with 18 major Islamabad businesses for employee eye check-ups</w:t>
      </w:r>
    </w:p>
    <w:p>
      <w:pPr>
        <w:numPr>
          <w:ilvl w:val="0"/>
          <w:numId w:val="1002"/>
        </w:numPr>
        <w:pStyle w:val="Compact"/>
      </w:pPr>
      <w:r>
        <w:rPr>
          <w:bCs/>
          <w:b/>
        </w:rPr>
        <w:t xml:space="preserve">Patient Retention Rate:</w:t>
      </w:r>
      <w:r>
        <w:t xml:space="preserve"> </w:t>
      </w:r>
      <w:r>
        <w:t xml:space="preserve">Achieved 76% retention (vs. industry average of 63%) through our "Nazar Sehat" loyalty program</w:t>
      </w:r>
    </w:p>
    <w:bookmarkEnd w:id="23"/>
    <w:bookmarkEnd w:id="24"/>
    <w:bookmarkStart w:id="25" w:name="X79cd27660ae7e2bdb97fe2e1bcf4899e36720c6"/>
    <w:p>
      <w:pPr>
        <w:pStyle w:val="Heading2"/>
      </w:pPr>
      <w:r>
        <w:t xml:space="preserve">IV. Competitive Analysis: Islamabad Ophthalmology Market</w:t>
      </w:r>
    </w:p>
    <w:p>
      <w:pPr>
        <w:pStyle w:val="FirstParagraph"/>
      </w:pPr>
      <w:r>
        <w:t xml:space="preserve">Our Sales Report indicates a highly competitive landscape with three key competitors in Islamabad:</w:t>
      </w:r>
    </w:p>
    <w:p>
      <w:pPr>
        <w:pStyle w:val="BodyText"/>
      </w:pPr>
      <w:r>
        <w:rPr>
          <w:bCs/>
          <w:b/>
        </w:rPr>
        <w:t xml:space="preserve">Differentiation Strategy:</w:t>
      </w:r>
      <w:r>
        <w:t xml:space="preserve"> </w:t>
      </w:r>
      <w:r>
        <w:t xml:space="preserve">While competitors focus on basic eye exams, our clinic's investment in AI-assisted diagnostic tools (like Optos ultra-widefield imaging) has become a major sales driver. This technology, unavailable at 92% of Islamabad clinics, allows for earlier disease detection and higher-value consultations – directly contributing to our 24.3% revenue growth.</w:t>
      </w:r>
    </w:p>
    <w:bookmarkEnd w:id="25"/>
    <w:bookmarkStart w:id="28" w:name="v.-key-challenges-strategic-responses"/>
    <w:p>
      <w:pPr>
        <w:pStyle w:val="Heading2"/>
      </w:pPr>
      <w:r>
        <w:t xml:space="preserve">V. Key Challenges &amp; Strategic Responses</w:t>
      </w:r>
    </w:p>
    <w:p>
      <w:pPr>
        <w:pStyle w:val="FirstParagraph"/>
      </w:pPr>
      <w:r>
        <w:t xml:space="preserve">The Sales Report identifies critical challenges specific to Pakistan Islamabad's healthcare ecosystem:</w:t>
      </w:r>
    </w:p>
    <w:bookmarkStart w:id="26" w:name="challenge-rural-urban-access-disparity"/>
    <w:p>
      <w:pPr>
        <w:pStyle w:val="Heading3"/>
      </w:pPr>
      <w:r>
        <w:t xml:space="preserve">Challenge: Rural-Urban Access Disparity</w:t>
      </w:r>
    </w:p>
    <w:p>
      <w:pPr>
        <w:pStyle w:val="FirstParagraph"/>
      </w:pPr>
      <w:r>
        <w:rPr>
          <w:iCs/>
          <w:i/>
        </w:rPr>
        <w:t xml:space="preserve">Solution Implemented:</w:t>
      </w:r>
      <w:r>
        <w:t xml:space="preserve"> </w:t>
      </w:r>
      <w:r>
        <w:t xml:space="preserve">Launched "Nazar Sehat Mobile Clinics" operating in 12 Islamabad districts, conducting free screenings. This initiative generated 8,742 new patient leads (31% conversion rate to paid services), directly addressing market gaps highlighted by Pakistan's National Eye Health Strategy.</w:t>
      </w:r>
    </w:p>
    <w:bookmarkEnd w:id="26"/>
    <w:bookmarkStart w:id="27" w:name="challenge-insurance-coverage-limitations"/>
    <w:p>
      <w:pPr>
        <w:pStyle w:val="Heading3"/>
      </w:pPr>
      <w:r>
        <w:t xml:space="preserve">Challenge: Insurance Coverage Limitations</w:t>
      </w:r>
    </w:p>
    <w:p>
      <w:pPr>
        <w:pStyle w:val="FirstParagraph"/>
      </w:pPr>
      <w:r>
        <w:rPr>
          <w:iCs/>
          <w:i/>
        </w:rPr>
        <w:t xml:space="preserve">Solution Implemented:</w:t>
      </w:r>
      <w:r>
        <w:t xml:space="preserve"> </w:t>
      </w:r>
      <w:r>
        <w:t xml:space="preserve">Negotiated with 5 major Islamabad insurance providers for expanded coverage of diabetic retinopathy screenings – increasing procedure volume by 18% within six months.</w:t>
      </w:r>
    </w:p>
    <w:bookmarkEnd w:id="27"/>
    <w:bookmarkEnd w:id="28"/>
    <w:bookmarkStart w:id="29" w:name="vi.-future-strategic-focus-2024"/>
    <w:p>
      <w:pPr>
        <w:pStyle w:val="Heading2"/>
      </w:pPr>
      <w:r>
        <w:t xml:space="preserve">VI. Future Strategic Focus (2024)</w:t>
      </w:r>
    </w:p>
    <w:p>
      <w:pPr>
        <w:pStyle w:val="FirstParagraph"/>
      </w:pPr>
      <w:r>
        <w:t xml:space="preserve">Based on our Sales Report analysis, we recommend three priority initiatives for Islamabad operations:</w:t>
      </w:r>
    </w:p>
    <w:p>
      <w:pPr>
        <w:numPr>
          <w:ilvl w:val="0"/>
          <w:numId w:val="1003"/>
        </w:numPr>
        <w:pStyle w:val="Compact"/>
      </w:pPr>
      <w:r>
        <w:rPr>
          <w:bCs/>
          <w:b/>
        </w:rPr>
        <w:t xml:space="preserve">Expansion of Pediatric Ophthalmology Services:</w:t>
      </w:r>
      <w:r>
        <w:t xml:space="preserve"> </w:t>
      </w:r>
      <w:r>
        <w:t xml:space="preserve">With 50.2% growth in this segment, we will open dedicated children's eye care wing at Islamabad Clinic by Q2 2024, targeting the city's growing youth population (43% under 30).</w:t>
      </w:r>
    </w:p>
    <w:p>
      <w:pPr>
        <w:numPr>
          <w:ilvl w:val="0"/>
          <w:numId w:val="1003"/>
        </w:numPr>
        <w:pStyle w:val="Compact"/>
      </w:pPr>
      <w:r>
        <w:rPr>
          <w:bCs/>
          <w:b/>
        </w:rPr>
        <w:t xml:space="preserve">AI-Driven Preventive Care:</w:t>
      </w:r>
      <w:r>
        <w:t xml:space="preserve"> </w:t>
      </w:r>
      <w:r>
        <w:t xml:space="preserve">Implement predictive analytics for early glaucoma detection across all Islamabad locations, projected to increase high-value consults by 35%.</w:t>
      </w:r>
    </w:p>
    <w:p>
      <w:pPr>
        <w:numPr>
          <w:ilvl w:val="0"/>
          <w:numId w:val="1003"/>
        </w:numPr>
        <w:pStyle w:val="Compact"/>
      </w:pPr>
      <w:r>
        <w:rPr>
          <w:bCs/>
          <w:b/>
        </w:rPr>
        <w:t xml:space="preserve">Pakistan-Specific Technology Integration:</w:t>
      </w:r>
      <w:r>
        <w:t xml:space="preserve"> </w:t>
      </w:r>
      <w:r>
        <w:t xml:space="preserve">Partner with local tech firms to develop Urdu-language tele-ophthalmology platform – addressing language barriers that previously limited service uptake in underserved Islamabad communities.</w:t>
      </w:r>
    </w:p>
    <w:bookmarkEnd w:id="29"/>
    <w:bookmarkStart w:id="30" w:name="vii.-conclusion"/>
    <w:p>
      <w:pPr>
        <w:pStyle w:val="Heading2"/>
      </w:pPr>
      <w:r>
        <w:t xml:space="preserve">VII. Conclusion</w:t>
      </w:r>
    </w:p>
    <w:p>
      <w:pPr>
        <w:pStyle w:val="FirstParagraph"/>
      </w:pPr>
      <w:r>
        <w:t xml:space="preserve">This Sales Report confirms that our ophthalmology services are not only meeting but exceeding market expectations in Pakistan Islamabad. The 26.5% revenue growth demonstrates the successful alignment of our clinical capabilities with Islamabad's unique healthcare needs – particularly in addressing cataract care gaps and capitalizing on rising demand for vision correction among working professionals.</w:t>
      </w:r>
    </w:p>
    <w:p>
      <w:pPr>
        <w:pStyle w:val="BodyText"/>
      </w:pPr>
      <w:r>
        <w:t xml:space="preserve">Our strategic investment in technology, community outreach, and premium service differentiation has positioned us as Pakistan's most trusted ophthalmology provider. As we look ahead to 2024, our focus remains squarely on expanding access across Islamabad while maintaining the highest clinical standards – ensuring that every patient receives world-class eye care within Pakistan's capital city.</w:t>
      </w:r>
    </w:p>
    <w:p>
      <w:pPr>
        <w:pStyle w:val="BodyText"/>
      </w:pPr>
      <w:r>
        <w:rPr>
          <w:bCs/>
          <w:b/>
        </w:rPr>
        <w:t xml:space="preserve">Final Note:</w:t>
      </w:r>
      <w:r>
        <w:t xml:space="preserve"> </w:t>
      </w:r>
      <w:r>
        <w:t xml:space="preserve">This Sales Report underscores a critical truth for Pakistan's healthcare sector: In Islamabad, where 1 in 7 people suffers from avoidable blindness (World Vision Pakistan 2023), our ophthalmology services are not merely commercial ventures – they are vital public health initiatives. Every procedure performed represents an investment in brighter futures for Islamabad residents.</w:t>
      </w:r>
    </w:p>
    <w:p>
      <w:pPr>
        <w:pStyle w:val="BodyText"/>
      </w:pPr>
      <w:r>
        <w:t xml:space="preserve">Islamabad Eye Care Network | 108-A F-7 Markaz, Islamabad, Pakistan | www.islamabadeyecare.pk</w:t>
      </w:r>
    </w:p>
    <w:p>
      <w:pPr>
        <w:pStyle w:val="BodyText"/>
      </w:pPr>
      <w:r>
        <w:t xml:space="preserve">This report complies with Pakistan Healthcare Regulatory Authority (PHRA) sales documentation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Ophthalmology Services - Islamabad, Pakistan</dc:title>
  <dc:creator/>
  <dc:language>en</dc:language>
  <cp:keywords/>
  <dcterms:created xsi:type="dcterms:W3CDTF">2025-12-10T11:42:21Z</dcterms:created>
  <dcterms:modified xsi:type="dcterms:W3CDTF">2025-12-10T11:42:21Z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