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1" w:name="X92ffda4f014c5bee9b4455618860c7193c4d43e"/>
    <w:p>
      <w:pPr>
        <w:pStyle w:val="Heading1"/>
      </w:pPr>
      <w:r>
        <w:t xml:space="preserve">Comprehensive Ophthalmologist Sales Performance Report: Manila, Philippines Market (2023)</w:t>
      </w:r>
    </w:p>
    <w:bookmarkStart w:id="20" w:name="executive-summary"/>
    <w:p>
      <w:pPr>
        <w:pStyle w:val="Heading2"/>
      </w:pPr>
      <w:r>
        <w:t xml:space="preserve">Executive Summary</w:t>
      </w:r>
    </w:p>
    <w:p>
      <w:pPr>
        <w:pStyle w:val="FirstParagraph"/>
      </w:pPr>
      <w:r>
        <w:t xml:space="preserve">This Sales Report provides an in-depth analysis of the ophthalmology services and equipment market within Manila, Philippines. The data reveals significant growth potential for ophthalmologist-led practices and related medical technologies, with a 18.7% year-over-year increase in specialized eye care demand across Metro Manila. This report specifically addresses sales performance metrics, market challenges, and strategic opportunities for healthcare providers serving the Filipino ophthalmology sector.</w:t>
      </w:r>
    </w:p>
    <w:bookmarkEnd w:id="20"/>
    <w:bookmarkStart w:id="21" w:name="X1a82dba9f17cd7a56f7dc8452aad7cf82080894"/>
    <w:p>
      <w:pPr>
        <w:pStyle w:val="Heading2"/>
      </w:pPr>
      <w:r>
        <w:t xml:space="preserve">Market Context: Ophthalmologist Demand in Philippines Manila</w:t>
      </w:r>
    </w:p>
    <w:p>
      <w:pPr>
        <w:pStyle w:val="FirstParagraph"/>
      </w:pPr>
      <w:r>
        <w:t xml:space="preserve">Manila's urban population of 13.4 million faces critical eye care access gaps. The Philippine Department of Health reports 15% of Filipinos suffer from vision impairment, with Manila having the highest concentration of ophthalmology practices (58% nationally). This creates an urgent market for specialized ophthalmologist services, driven by aging demographics and rising diabetes prevalence. Our sales data confirms that premium ophthalmologist consultations in Manila exceed ₱3,500 per visit – 22% above regional averages – reflecting strong patient willingness to pay for expert care.</w:t>
      </w:r>
    </w:p>
    <w:bookmarkEnd w:id="21"/>
    <w:bookmarkStart w:id="22" w:name="key-sales-performance-metrics-q1-q3-2023"/>
    <w:p>
      <w:pPr>
        <w:pStyle w:val="Heading2"/>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Sales Volume (Manila)</w:t>
            </w:r>
          </w:p>
        </w:tc>
        <w:tc>
          <w:tcPr/>
          <w:p>
            <w:pPr>
              <w:pStyle w:val="Compact"/>
              <w:jc w:val="left"/>
            </w:pPr>
            <w:r>
              <w:t xml:space="preserve">YoY Growth</w:t>
            </w:r>
          </w:p>
        </w:tc>
        <w:tc>
          <w:tcPr/>
          <w:p>
            <w:pPr>
              <w:pStyle w:val="Compact"/>
              <w:jc w:val="left"/>
            </w:pPr>
            <w:r>
              <w:t xml:space="preserve">Key Contributing Factors</w:t>
            </w:r>
          </w:p>
        </w:tc>
      </w:tr>
      <w:tr>
        <w:tc>
          <w:tcPr/>
          <w:p>
            <w:pPr>
              <w:pStyle w:val="Compact"/>
              <w:jc w:val="left"/>
            </w:pPr>
            <w:r>
              <w:t xml:space="preserve">Ophthalmologist Consultation Packages</w:t>
            </w:r>
          </w:p>
        </w:tc>
        <w:tc>
          <w:tcPr/>
          <w:p>
            <w:pPr>
              <w:pStyle w:val="Compact"/>
              <w:jc w:val="left"/>
            </w:pPr>
            <w:r>
              <w:t xml:space="preserve">14,200 units</w:t>
            </w:r>
          </w:p>
        </w:tc>
        <w:tc>
          <w:tcPr/>
          <w:p>
            <w:pPr>
              <w:pStyle w:val="Compact"/>
              <w:jc w:val="left"/>
            </w:pPr>
            <w:r>
              <w:t xml:space="preserve">+23.5%</w:t>
            </w:r>
          </w:p>
        </w:tc>
        <w:tc>
          <w:tcPr/>
          <w:p>
            <w:pPr>
              <w:pStyle w:val="Compact"/>
              <w:jc w:val="left"/>
            </w:pPr>
            <w:r>
              <w:t xml:space="preserve">Corporate wellness programs, increased diabetic retinopathy screenings</w:t>
            </w:r>
          </w:p>
        </w:tc>
      </w:tr>
      <w:tr>
        <w:tc>
          <w:tcPr/>
          <w:p>
            <w:pPr>
              <w:pStyle w:val="Compact"/>
              <w:jc w:val="left"/>
            </w:pPr>
            <w:r>
              <w:t xml:space="preserve">Laser Cataract Surgery Systems</w:t>
            </w:r>
          </w:p>
        </w:tc>
        <w:tc>
          <w:tcPr/>
          <w:p>
            <w:pPr>
              <w:pStyle w:val="Compact"/>
              <w:jc w:val="left"/>
            </w:pPr>
            <w:r>
              <w:t xml:space="preserve">87 units (68% of national sales)</w:t>
            </w:r>
          </w:p>
        </w:tc>
        <w:tc>
          <w:tcPr/>
          <w:p>
            <w:pPr>
              <w:pStyle w:val="Compact"/>
              <w:jc w:val="left"/>
            </w:pPr>
            <w:r>
              <w:t xml:space="preserve">+19.3%</w:t>
            </w:r>
          </w:p>
        </w:tc>
        <w:tc>
          <w:tcPr/>
          <w:p>
            <w:pPr>
              <w:pStyle w:val="Compact"/>
              <w:jc w:val="left"/>
            </w:pPr>
            <w:r>
              <w:t xml:space="preserve">New government hospital contracts, private clinic expansions</w:t>
            </w:r>
          </w:p>
        </w:tc>
      </w:tr>
      <w:tr>
        <w:tc>
          <w:tcPr/>
          <w:p>
            <w:pPr>
              <w:pStyle w:val="Compact"/>
              <w:jc w:val="left"/>
            </w:pPr>
            <w:r>
              <w:t xml:space="preserve">Digital Eye Screening Devices</w:t>
            </w:r>
          </w:p>
        </w:tc>
        <w:tc>
          <w:tcPr/>
          <w:p>
            <w:pPr>
              <w:pStyle w:val="Compact"/>
              <w:jc w:val="left"/>
            </w:pPr>
            <w:r>
              <w:t xml:space="preserve">312 units</w:t>
            </w:r>
          </w:p>
        </w:tc>
        <w:tc>
          <w:tcPr/>
          <w:p>
            <w:pPr>
              <w:pStyle w:val="Compact"/>
              <w:jc w:val="left"/>
            </w:pPr>
            <w:r>
              <w:t xml:space="preserve">+45.2%</w:t>
            </w:r>
          </w:p>
        </w:tc>
        <w:tc>
          <w:tcPr/>
          <w:p>
            <w:pPr>
              <w:pStyle w:val="Compact"/>
              <w:jc w:val="left"/>
            </w:pPr>
            <w:r>
              <w:t xml:space="preserve">PHILHEALTH reimbursement coverage (2023)</w:t>
            </w:r>
          </w:p>
        </w:tc>
      </w:tr>
      <w:tr>
        <w:tc>
          <w:tcPr/>
          <w:p>
            <w:pPr>
              <w:pStyle w:val="Compact"/>
              <w:jc w:val="left"/>
            </w:pPr>
            <w:r>
              <w:t xml:space="preserve">Ophthalmic Medications (Post-surgery)</w:t>
            </w:r>
          </w:p>
        </w:tc>
        <w:tc>
          <w:tcPr/>
          <w:p>
            <w:pPr>
              <w:pStyle w:val="Compact"/>
              <w:jc w:val="left"/>
            </w:pPr>
            <w:r>
              <w:t xml:space="preserve">56,800 prescriptions</w:t>
            </w:r>
          </w:p>
        </w:tc>
        <w:tc>
          <w:tcPr/>
          <w:p>
            <w:pPr>
              <w:pStyle w:val="Compact"/>
              <w:jc w:val="left"/>
            </w:pPr>
            <w:r>
              <w:t xml:space="preserve">+15.7%</w:t>
            </w:r>
          </w:p>
        </w:tc>
        <w:tc>
          <w:tcPr/>
          <w:p>
            <w:pPr>
              <w:pStyle w:val="Compact"/>
              <w:jc w:val="left"/>
            </w:pPr>
            <w:r>
              <w:t xml:space="preserve">Increased cataract surgery volume</w:t>
            </w:r>
          </w:p>
        </w:tc>
      </w:tr>
    </w:tbl>
    <w:bookmarkEnd w:id="22"/>
    <w:bookmarkStart w:id="23" w:name="X9b2642e13cec66ef5513c687f47213536bd0d09"/>
    <w:p>
      <w:pPr>
        <w:pStyle w:val="Heading2"/>
      </w:pPr>
      <w:r>
        <w:t xml:space="preserve">Regional Sales Breakdown: Manila vs. Other Philippine Regions</w:t>
      </w:r>
    </w:p>
    <w:p>
      <w:pPr>
        <w:pStyle w:val="FirstParagraph"/>
      </w:pPr>
      <w:r>
        <w:t xml:space="preserve">Manila dominates ophthalmology market share with 48% of all specialist consultations in the country. Notable trends include:</w:t>
      </w:r>
    </w:p>
    <w:p>
      <w:pPr>
        <w:numPr>
          <w:ilvl w:val="0"/>
          <w:numId w:val="1001"/>
        </w:numPr>
        <w:pStyle w:val="Compact"/>
      </w:pPr>
      <w:r>
        <w:rPr>
          <w:bCs/>
          <w:b/>
        </w:rPr>
        <w:t xml:space="preserve">High-End Services:</w:t>
      </w:r>
      <w:r>
        <w:t xml:space="preserve"> </w:t>
      </w:r>
      <w:r>
        <w:t xml:space="preserve">Manila accounts for 73% of premium laser vision correction procedures (e.g., SMILE, PRK), with average revenue per procedure at ₱48,500 – 32% higher than Davao or Cebu</w:t>
      </w:r>
    </w:p>
    <w:p>
      <w:pPr>
        <w:numPr>
          <w:ilvl w:val="0"/>
          <w:numId w:val="1001"/>
        </w:numPr>
        <w:pStyle w:val="Compact"/>
      </w:pPr>
      <w:r>
        <w:rPr>
          <w:bCs/>
          <w:b/>
        </w:rPr>
        <w:t xml:space="preserve">Teleophthalmology Adoption:</w:t>
      </w:r>
      <w:r>
        <w:t xml:space="preserve"> </w:t>
      </w:r>
      <w:r>
        <w:t xml:space="preserve">Manila clinics lead in digital consultations (+197% YoY), driven by post-pandemic patient preference for hybrid care models</w:t>
      </w:r>
    </w:p>
    <w:p>
      <w:pPr>
        <w:numPr>
          <w:ilvl w:val="0"/>
          <w:numId w:val="1001"/>
        </w:numPr>
        <w:pStyle w:val="Compact"/>
      </w:pPr>
      <w:r>
        <w:rPr>
          <w:bCs/>
          <w:b/>
        </w:rPr>
        <w:t xml:space="preserve">Budget Constraints:</w:t>
      </w:r>
      <w:r>
        <w:t xml:space="preserve"> </w:t>
      </w:r>
      <w:r>
        <w:t xml:space="preserve">Provincial areas show 38% lower equipment sales due to limited hospital funding, while Manila's 12 private eye hospitals (e.g., Philippine General Hospital Eye Center, St. Luke's) drive consistent high-value sales</w:t>
      </w:r>
    </w:p>
    <w:bookmarkEnd w:id="23"/>
    <w:bookmarkStart w:id="24" w:name="Xbf7a4841f47c0116039235d9a99887d163c8475"/>
    <w:p>
      <w:pPr>
        <w:pStyle w:val="Heading2"/>
      </w:pPr>
      <w:r>
        <w:t xml:space="preserve">Strategic Challenges for Ophthalmologist Sales in Manila</w:t>
      </w:r>
    </w:p>
    <w:p>
      <w:pPr>
        <w:pStyle w:val="FirstParagraph"/>
      </w:pPr>
      <w:r>
        <w:t xml:space="preserve">Despite robust demand, our sales data identifies critical barriers:</w:t>
      </w:r>
    </w:p>
    <w:p>
      <w:pPr>
        <w:numPr>
          <w:ilvl w:val="0"/>
          <w:numId w:val="1002"/>
        </w:numPr>
        <w:pStyle w:val="Compact"/>
      </w:pPr>
      <w:r>
        <w:rPr>
          <w:bCs/>
          <w:b/>
        </w:rPr>
        <w:t xml:space="preserve">Equipment Procurement Delays:</w:t>
      </w:r>
      <w:r>
        <w:t xml:space="preserve"> </w:t>
      </w:r>
      <w:r>
        <w:t xml:space="preserve">68% of clinics report 4-6 month lead times for imported ophthalmic devices due to Manila customs bottlenecks – directly impacting surgery scheduling and revenue</w:t>
      </w:r>
    </w:p>
    <w:p>
      <w:pPr>
        <w:numPr>
          <w:ilvl w:val="0"/>
          <w:numId w:val="1002"/>
        </w:numPr>
        <w:pStyle w:val="Compact"/>
      </w:pPr>
      <w:r>
        <w:rPr>
          <w:bCs/>
          <w:b/>
        </w:rPr>
        <w:t xml:space="preserve">Patient Affordability Gaps:</w:t>
      </w:r>
      <w:r>
        <w:t xml:space="preserve"> </w:t>
      </w:r>
      <w:r>
        <w:t xml:space="preserve">While high-end services thrive, only 27% of Manila's low-income population accesses subsidized care despite government programs. This represents a ₱850M annual sales opportunity for tiered pricing models</w:t>
      </w:r>
    </w:p>
    <w:p>
      <w:pPr>
        <w:numPr>
          <w:ilvl w:val="0"/>
          <w:numId w:val="1002"/>
        </w:numPr>
        <w:pStyle w:val="Compact"/>
      </w:pPr>
      <w:r>
        <w:rPr>
          <w:bCs/>
          <w:b/>
        </w:rPr>
        <w:t xml:space="preserve">Talent Retention:</w:t>
      </w:r>
      <w:r>
        <w:t xml:space="preserve"> </w:t>
      </w:r>
      <w:r>
        <w:t xml:space="preserve">Manila's ophthalmologists face 34% higher turnover than national averages due to burnout; this directly affects practice continuity and patient retention rates</w:t>
      </w:r>
    </w:p>
    <w:bookmarkEnd w:id="24"/>
    <w:bookmarkStart w:id="28" w:name="emerging-opportunities-q4-2023-beyond"/>
    <w:p>
      <w:pPr>
        <w:pStyle w:val="Heading2"/>
      </w:pPr>
      <w:r>
        <w:t xml:space="preserve">Emerging Opportunities (Q4 2023 &amp; Beyond)</w:t>
      </w:r>
    </w:p>
    <w:p>
      <w:pPr>
        <w:pStyle w:val="FirstParagraph"/>
      </w:pPr>
      <w:r>
        <w:t xml:space="preserve">The Philippine government's "Vision 2030" initiative creates three high-impact opportunities:</w:t>
      </w:r>
    </w:p>
    <w:bookmarkStart w:id="25" w:name="philhealth-partnership-expansion"/>
    <w:p>
      <w:pPr>
        <w:pStyle w:val="Heading3"/>
      </w:pPr>
      <w:r>
        <w:t xml:space="preserve">1. PHILHEALTH Partnership Expansion</w:t>
      </w:r>
    </w:p>
    <w:p>
      <w:pPr>
        <w:pStyle w:val="FirstParagraph"/>
      </w:pPr>
      <w:r>
        <w:t xml:space="preserve">New reimbursement guidelines for diabetic retinopathy screening (effective January 2024) will drive 41% expected growth in ophthalmologist referrals from primary care clinics across Manila. Sales teams should prioritize contract negotiations with network hospitals like Makati Medical Center and Asian Hospital.</w:t>
      </w:r>
    </w:p>
    <w:bookmarkEnd w:id="25"/>
    <w:bookmarkStart w:id="26" w:name="digital-health-integration"/>
    <w:p>
      <w:pPr>
        <w:pStyle w:val="Heading3"/>
      </w:pPr>
      <w:r>
        <w:t xml:space="preserve">2. Digital Health Integration</w:t>
      </w:r>
    </w:p>
    <w:p>
      <w:pPr>
        <w:pStyle w:val="FirstParagraph"/>
      </w:pPr>
      <w:r>
        <w:t xml:space="preserve">Manila's top 20 eye clinics now use AI-powered diagnostic tools (e.g., RetinaScan), increasing sales of connected devices by 67% in Q3. We recommend bundling our imaging systems with teleophthalmology subscriptions for Manila-based practices.</w:t>
      </w:r>
    </w:p>
    <w:bookmarkEnd w:id="26"/>
    <w:bookmarkStart w:id="27" w:name="tiered-service-model-development"/>
    <w:p>
      <w:pPr>
        <w:pStyle w:val="Heading3"/>
      </w:pPr>
      <w:r>
        <w:t xml:space="preserve">3. Tiered Service Model Development</w:t>
      </w:r>
    </w:p>
    <w:p>
      <w:pPr>
        <w:pStyle w:val="FirstParagraph"/>
      </w:pPr>
      <w:r>
        <w:t xml:space="preserve">Launch of "Ophthalmologist Care Tiers" (Basic, Premium, Executive) based on patient income levels – particularly effective in Manila's economic diversity. Early pilot data shows 28% higher conversion rates for middle-income patients compared to standard pricing.</w:t>
      </w:r>
    </w:p>
    <w:bookmarkEnd w:id="27"/>
    <w:bookmarkEnd w:id="28"/>
    <w:bookmarkStart w:id="29" w:name="X6a62dd574e61a45ce1ed53c066b42f570c4e544"/>
    <w:p>
      <w:pPr>
        <w:pStyle w:val="Heading2"/>
      </w:pPr>
      <w:r>
        <w:t xml:space="preserve">Recommendations for Sales Strategy in Manila</w:t>
      </w:r>
    </w:p>
    <w:p>
      <w:pPr>
        <w:numPr>
          <w:ilvl w:val="0"/>
          <w:numId w:val="1003"/>
        </w:numPr>
        <w:pStyle w:val="Compact"/>
      </w:pPr>
      <w:r>
        <w:rPr>
          <w:bCs/>
          <w:b/>
        </w:rPr>
        <w:t xml:space="preserve">Customize Hospital Contracts:</w:t>
      </w:r>
      <w:r>
        <w:t xml:space="preserve"> </w:t>
      </w:r>
      <w:r>
        <w:t xml:space="preserve">Develop Manila-specific payment plans addressing customs delays (e.g., "3+1" financing: 3 months of device usage before payment)</w:t>
      </w:r>
    </w:p>
    <w:p>
      <w:pPr>
        <w:numPr>
          <w:ilvl w:val="0"/>
          <w:numId w:val="1003"/>
        </w:numPr>
        <w:pStyle w:val="Compact"/>
      </w:pPr>
      <w:r>
        <w:rPr>
          <w:bCs/>
          <w:b/>
        </w:rPr>
        <w:t xml:space="preserve">Prioritize PHILHEALTH Partnerships:</w:t>
      </w:r>
      <w:r>
        <w:t xml:space="preserve"> </w:t>
      </w:r>
      <w:r>
        <w:t xml:space="preserve">Allocate 40% of sales team resources to hospital contracts with active PHILHEALTH accreditation</w:t>
      </w:r>
    </w:p>
    <w:p>
      <w:pPr>
        <w:numPr>
          <w:ilvl w:val="0"/>
          <w:numId w:val="1003"/>
        </w:numPr>
        <w:pStyle w:val="Compact"/>
      </w:pPr>
      <w:r>
        <w:rPr>
          <w:bCs/>
          <w:b/>
        </w:rPr>
        <w:t xml:space="preserve">Invest in Ophthalmologist Education:</w:t>
      </w:r>
      <w:r>
        <w:t xml:space="preserve"> </w:t>
      </w:r>
      <w:r>
        <w:t xml:space="preserve">Sponsor Manila-based continuing medical education (CME) courses on new technologies – directly correlates with 33% higher product adoption rates</w:t>
      </w:r>
    </w:p>
    <w:p>
      <w:pPr>
        <w:numPr>
          <w:ilvl w:val="0"/>
          <w:numId w:val="1003"/>
        </w:numPr>
        <w:pStyle w:val="Compact"/>
      </w:pPr>
      <w:r>
        <w:rPr>
          <w:bCs/>
          <w:b/>
        </w:rPr>
        <w:t xml:space="preserve">Target Corporate Wellness Programs:</w:t>
      </w:r>
      <w:r>
        <w:t xml:space="preserve"> </w:t>
      </w:r>
      <w:r>
        <w:t xml:space="preserve">Manila's business districts (Makati, Bonifacio Global City) show 200% YoY growth in corporate eye exams – create tailored packages for companies like Ayala Land and SM Group</w:t>
      </w:r>
    </w:p>
    <w:bookmarkEnd w:id="29"/>
    <w:bookmarkStart w:id="30" w:name="Xa2fc3fdc6e9b7ed396d9c90709aebfde51a740e"/>
    <w:p>
      <w:pPr>
        <w:pStyle w:val="Heading2"/>
      </w:pPr>
      <w:r>
        <w:t xml:space="preserve">Conclusion: The Path Forward for Ophthalmologist Sales in Manila</w:t>
      </w:r>
    </w:p>
    <w:p>
      <w:pPr>
        <w:pStyle w:val="FirstParagraph"/>
      </w:pPr>
      <w:r>
        <w:t xml:space="preserve">The Philippines Manila market represents a high-potential, high-value segment for ophthalmology sales. With 1.2 million new eye care patients entering the system annually in Metro Manila, strategic focus on digital integration, PHILHEALTH partnerships, and tiered service models will capture significant market share. Our data shows that clinics implementing these recommendations achieve 37% higher annual revenue growth compared to industry averages.</w:t>
      </w:r>
    </w:p>
    <w:p>
      <w:pPr>
        <w:pStyle w:val="BodyText"/>
      </w:pPr>
      <w:r>
        <w:t xml:space="preserve">Crucially, this Sales Report underscores that Manila's ophthalmologist ecosystem isn't merely transactional – it's deeply tied to national health outcomes. By addressing accessibility barriers while leveraging Manila's position as the Philippines' medical hub, our sales strategy directly supports both business growth and the Filipino vision of universal eye care access. The coming year will be decisive: those who align product offerings with Manila's unique healthcare dynamics will lead this market segment for the next decade.</w:t>
      </w:r>
    </w:p>
    <w:p>
      <w:pPr>
        <w:pStyle w:val="BodyText"/>
      </w:pPr>
      <w:r>
        <w:rPr>
          <w:bCs/>
          <w:b/>
        </w:rPr>
        <w:t xml:space="preserve">Prepared By:</w:t>
      </w:r>
      <w:r>
        <w:t xml:space="preserve"> </w:t>
      </w:r>
      <w:r>
        <w:t xml:space="preserve">Global Health Solutions Philippines Sales Intelligence Unit</w:t>
      </w:r>
      <w:r>
        <w:br/>
      </w:r>
      <w:r>
        <w:rPr>
          <w:bCs/>
          <w:b/>
        </w:rPr>
        <w:t xml:space="preserve">Date:</w:t>
      </w:r>
      <w:r>
        <w:t xml:space="preserve"> </w:t>
      </w:r>
      <w:r>
        <w:t xml:space="preserve">October 26, 2023</w:t>
      </w:r>
      <w:r>
        <w:br/>
      </w:r>
      <w:r>
        <w:rPr>
          <w:bCs/>
          <w:b/>
        </w:rPr>
        <w:t xml:space="preserve">Confidential: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Philippines Manila Market Analysis</dc:title>
  <dc:creator/>
  <dc:language>en</dc:language>
  <cp:keywords/>
  <dcterms:created xsi:type="dcterms:W3CDTF">2026-07-21T05:05:53Z</dcterms:created>
  <dcterms:modified xsi:type="dcterms:W3CDTF">2026-07-21T05:05:53Z</dcterms:modified>
</cp:coreProperties>
</file>

<file path=docProps/custom.xml><?xml version="1.0" encoding="utf-8"?>
<Properties xmlns="http://schemas.openxmlformats.org/officeDocument/2006/custom-properties" xmlns:vt="http://schemas.openxmlformats.org/officeDocument/2006/docPropsVTypes"/>
</file>