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9" w:name="X2d441bafbd9640861808926a3b016f452eb0a35"/>
    <w:p>
      <w:pPr>
        <w:pStyle w:val="Heading1"/>
      </w:pPr>
      <w:r>
        <w:t xml:space="preserve">Sales Report: Ophthalmology Market Performance in Russia Moscow (Q3 2023)</w:t>
      </w:r>
    </w:p>
    <w:p>
      <w:pPr>
        <w:pStyle w:val="FirstParagraph"/>
      </w:pPr>
      <w:r>
        <w:rPr>
          <w:bCs/>
          <w:b/>
        </w:rPr>
        <w:t xml:space="preserve">Prepared For:</w:t>
      </w:r>
      <w:r>
        <w:t xml:space="preserve"> </w:t>
      </w:r>
      <w:r>
        <w:t xml:space="preserve">Executive Leadership Team, Global Ophthalmic Solutions Division</w:t>
      </w:r>
      <w:r>
        <w:br/>
      </w:r>
      <w:r>
        <w:rPr>
          <w:bCs/>
          <w:b/>
        </w:rPr>
        <w:t xml:space="preserve">Date:</w:t>
      </w:r>
      <w:r>
        <w:t xml:space="preserve"> </w:t>
      </w:r>
      <w:r>
        <w:t xml:space="preserve">October 26, 2023</w:t>
      </w:r>
      <w:r>
        <w:br/>
      </w:r>
      <w:r>
        <w:rPr>
          <w:bCs/>
          <w:b/>
        </w:rPr>
        <w:t xml:space="preserve">Report Type:</w:t>
      </w:r>
      <w:r>
        <w:t xml:space="preserve"> </w:t>
      </w:r>
      <w:r>
        <w:t xml:space="preserve">Regional Sales Performance Analysis</w:t>
      </w:r>
    </w:p>
    <w:bookmarkStart w:id="20" w:name="i.-executive-summary"/>
    <w:p>
      <w:pPr>
        <w:pStyle w:val="Heading2"/>
      </w:pPr>
      <w:r>
        <w:t xml:space="preserve">I. Executive Summary</w:t>
      </w:r>
    </w:p>
    <w:p>
      <w:pPr>
        <w:pStyle w:val="FirstParagraph"/>
      </w:pPr>
      <w:r>
        <w:t xml:space="preserve">This comprehensive Sales Report details the performance of ophthalmic products and services across Moscow, Russia during Q3 2023. The Russian ophthalmology market demonstrates robust growth potential, with Moscow serving as the undisputed epicenter for high-end ophthalmic care. This report confirms that strategic investments in advanced diagnostic equipment and surgical solutions have yielded exceptional returns, particularly through partnerships with leading</w:t>
      </w:r>
      <w:r>
        <w:t xml:space="preserve"> </w:t>
      </w:r>
      <w:r>
        <w:rPr>
          <w:iCs/>
          <w:i/>
        </w:rPr>
        <w:t xml:space="preserve">Ophthalmologist</w:t>
      </w:r>
      <w:r>
        <w:t xml:space="preserve"> </w:t>
      </w:r>
      <w:r>
        <w:t xml:space="preserve">networks in Russia Moscow. Despite global economic headwinds, our sales team achieved a 18% year-over-year increase in Moscow territory revenue, surpassing regional targets by 22%. This success underscores the critical importance of specialized</w:t>
      </w:r>
      <w:r>
        <w:t xml:space="preserve"> </w:t>
      </w:r>
      <w:r>
        <w:rPr>
          <w:iCs/>
          <w:i/>
        </w:rPr>
        <w:t xml:space="preserve">Ophthalmologist</w:t>
      </w:r>
      <w:r>
        <w:t xml:space="preserve"> </w:t>
      </w:r>
      <w:r>
        <w:t xml:space="preserve">relationships in penetrating this sophisticated market.</w:t>
      </w:r>
    </w:p>
    <w:bookmarkEnd w:id="20"/>
    <w:bookmarkStart w:id="23" w:name="ii.-moscow-market-dynamics-key-insights"/>
    <w:p>
      <w:pPr>
        <w:pStyle w:val="Heading2"/>
      </w:pPr>
      <w:r>
        <w:t xml:space="preserve">II. Moscow Market Dynamics: Key Insights</w:t>
      </w:r>
    </w:p>
    <w:bookmarkStart w:id="21" w:name="a.-demographic-clinical-landscape"/>
    <w:p>
      <w:pPr>
        <w:pStyle w:val="Heading3"/>
      </w:pPr>
      <w:r>
        <w:t xml:space="preserve">A. Demographic &amp; Clinical Landscape</w:t>
      </w:r>
    </w:p>
    <w:p>
      <w:pPr>
        <w:pStyle w:val="FirstParagraph"/>
      </w:pPr>
      <w:r>
        <w:t xml:space="preserve">Moscow's ophthalmology sector serves over 14 million residents, with an aging population driving demand for cataract surgery (58% of procedures), diabetic retinopathy management (32%), and refractive correction (10%). According to the Russian Federal Health Ministry's 2023 data, Moscow accounts for 41% of all high-complexity ophthalmic surgeries in Russia. The city hosts 78 specialized eye hospitals and 350+ private clinics, creating a concentrated market where every</w:t>
      </w:r>
      <w:r>
        <w:t xml:space="preserve"> </w:t>
      </w:r>
      <w:r>
        <w:rPr>
          <w:iCs/>
          <w:i/>
        </w:rPr>
        <w:t xml:space="preserve">Ophthalmologist</w:t>
      </w:r>
      <w:r>
        <w:t xml:space="preserve"> </w:t>
      </w:r>
      <w:r>
        <w:t xml:space="preserve">represents a pivotal sales opportunity.</w:t>
      </w:r>
    </w:p>
    <w:bookmarkEnd w:id="21"/>
    <w:bookmarkStart w:id="22" w:name="b.-competitive-positioning"/>
    <w:p>
      <w:pPr>
        <w:pStyle w:val="Heading3"/>
      </w:pPr>
      <w:r>
        <w:t xml:space="preserve">B. Competitive Positioning</w:t>
      </w:r>
    </w:p>
    <w:p>
      <w:pPr>
        <w:pStyle w:val="FirstParagraph"/>
      </w:pPr>
      <w:r>
        <w:t xml:space="preserve">In Russia Moscow, we maintain a 29% market share in premium diagnostic equipment (vs. 24% industry average). Our key differentiator remains the direct engagement with leading</w:t>
      </w:r>
      <w:r>
        <w:t xml:space="preserve"> </w:t>
      </w:r>
      <w:r>
        <w:rPr>
          <w:iCs/>
          <w:i/>
        </w:rPr>
        <w:t xml:space="preserve">Ophthalmologist</w:t>
      </w:r>
      <w:r>
        <w:t xml:space="preserve"> </w:t>
      </w:r>
      <w:r>
        <w:t xml:space="preserve">opinion leaders—particularly at institutions like the Federal Eye Institute and City Clinical Hospital #31. This strategy has driven a 37% increase in high-margin surgical suite sales compared to Q2 2023.</w:t>
      </w:r>
    </w:p>
    <w:bookmarkEnd w:id="22"/>
    <w:bookmarkEnd w:id="23"/>
    <w:bookmarkStart w:id="24" w:name="Xaf6080bff991b751d0c9d9b8edfb65b32fb2b92"/>
    <w:p>
      <w:pPr>
        <w:pStyle w:val="Heading2"/>
      </w:pPr>
      <w:r>
        <w:t xml:space="preserve">III. Sales Performance Breakdown: Russia Moscow (Q3 2023)</w:t>
      </w:r>
    </w:p>
    <w:p>
      <w:pPr>
        <w:pStyle w:val="FirstParagraph"/>
      </w:pPr>
      <w:r>
        <w:t xml:space="preserve">Product Category</w:t>
      </w:r>
    </w:p>
    <w:p>
      <w:pPr>
        <w:pStyle w:val="BodyText"/>
      </w:pPr>
      <w:r>
        <w:t xml:space="preserve">Revenue (RUB)</w:t>
      </w:r>
    </w:p>
    <w:p>
      <w:pPr>
        <w:pStyle w:val="BodyText"/>
      </w:pPr>
      <w:r>
        <w:t xml:space="preserve">YoY Change</w:t>
      </w:r>
    </w:p>
    <w:p>
      <w:pPr>
        <w:pStyle w:val="BodyText"/>
      </w:pPr>
      <w:r>
        <w:t xml:space="preserve">% of Total Moscow Sales</w:t>
      </w:r>
    </w:p>
    <w:p>
      <w:pPr>
        <w:pStyle w:val="BodyText"/>
      </w:pPr>
      <w:r>
        <w:t xml:space="preserve">Laser Cataract Systems</w:t>
      </w:r>
    </w:p>
    <w:p>
      <w:pPr>
        <w:pStyle w:val="BodyText"/>
      </w:pPr>
      <w:r>
        <w:t xml:space="preserve">287,500,000</w:t>
      </w:r>
    </w:p>
    <w:p>
      <w:pPr>
        <w:pStyle w:val="BodyText"/>
      </w:pPr>
      <w:r>
        <w:t xml:space="preserve">+23%</w:t>
      </w:r>
    </w:p>
    <w:p>
      <w:pPr>
        <w:pStyle w:val="BodyText"/>
      </w:pPr>
      <w:r>
        <w:t xml:space="preserve">41%</w:t>
      </w:r>
    </w:p>
    <w:p>
      <w:pPr>
        <w:pStyle w:val="BodyText"/>
      </w:pPr>
      <w:r>
        <w:t xml:space="preserve">Digital Retinal Imaging</w:t>
      </w:r>
    </w:p>
    <w:p>
      <w:pPr>
        <w:pStyle w:val="BodyText"/>
      </w:pPr>
      <w:r>
        <w:t xml:space="preserve">142,300,000</w:t>
      </w:r>
    </w:p>
    <w:p>
      <w:pPr>
        <w:pStyle w:val="BodyText"/>
      </w:pPr>
      <w:r>
        <w:t xml:space="preserve">*Driven by partnerships with Moscow-based Ophthalmologist networks</w:t>
      </w:r>
    </w:p>
    <w:p>
      <w:pPr>
        <w:pStyle w:val="BodyText"/>
      </w:pPr>
      <w:r>
        <w:t xml:space="preserve">Notable achievement: The "Moscow Vision Excellence" program—designed specifically for local</w:t>
      </w:r>
      <w:r>
        <w:t xml:space="preserve"> </w:t>
      </w:r>
      <w:r>
        <w:rPr>
          <w:iCs/>
          <w:i/>
        </w:rPr>
        <w:t xml:space="preserve">Ophthalmologist</w:t>
      </w:r>
      <w:r>
        <w:t xml:space="preserve"> </w:t>
      </w:r>
      <w:r>
        <w:t xml:space="preserve">training—generated 153 new qualified leads in Q3, resulting in a 68% conversion rate. This initiative directly addresses the acute need for advanced surgical education among Russian ophthalmology professionals.</w:t>
      </w:r>
    </w:p>
    <w:bookmarkEnd w:id="24"/>
    <w:bookmarkStart w:id="25" w:name="X7097273de7324ecb94b2230f7d7adbb3c1763b9"/>
    <w:p>
      <w:pPr>
        <w:pStyle w:val="Heading2"/>
      </w:pPr>
      <w:r>
        <w:t xml:space="preserve">IV. Critical Success Factors: The Ophthalmologist Imperative</w:t>
      </w:r>
    </w:p>
    <w:p>
      <w:pPr>
        <w:pStyle w:val="FirstParagraph"/>
      </w:pPr>
      <w:r>
        <w:t xml:space="preserve">In Russia Moscow, the</w:t>
      </w:r>
      <w:r>
        <w:t xml:space="preserve"> </w:t>
      </w:r>
      <w:r>
        <w:rPr>
          <w:iCs/>
          <w:i/>
        </w:rPr>
        <w:t xml:space="preserve">Ophthalmologist</w:t>
      </w:r>
      <w:r>
        <w:t xml:space="preserve"> </w:t>
      </w:r>
      <w:r>
        <w:t xml:space="preserve">is not merely a client but a strategic partner. Our data reveals that clinics where the primary</w:t>
      </w:r>
      <w:r>
        <w:t xml:space="preserve"> </w:t>
      </w:r>
      <w:r>
        <w:rPr>
          <w:iCs/>
          <w:i/>
        </w:rPr>
        <w:t xml:space="preserve">Ophthalmologist</w:t>
      </w:r>
      <w:r>
        <w:t xml:space="preserve"> </w:t>
      </w:r>
      <w:r>
        <w:t xml:space="preserve">received personalized training demonstrated 3.2x higher product adoption rates. Key findings include:</w:t>
      </w:r>
    </w:p>
    <w:p>
      <w:pPr>
        <w:numPr>
          <w:ilvl w:val="0"/>
          <w:numId w:val="1001"/>
        </w:numPr>
        <w:pStyle w:val="Compact"/>
      </w:pPr>
      <w:r>
        <w:rPr>
          <w:bCs/>
          <w:b/>
        </w:rPr>
        <w:t xml:space="preserve">Trust as Currency:</w:t>
      </w:r>
      <w:r>
        <w:t xml:space="preserve"> </w:t>
      </w:r>
      <w:r>
        <w:t xml:space="preserve">89% of Moscow-based</w:t>
      </w:r>
      <w:r>
        <w:t xml:space="preserve"> </w:t>
      </w:r>
      <w:r>
        <w:rPr>
          <w:iCs/>
          <w:i/>
        </w:rPr>
        <w:t xml:space="preserve">Ophthalmologist</w:t>
      </w:r>
      <w:r>
        <w:t xml:space="preserve">s prioritize vendor relationships built on clinical expertise over price alone.</w:t>
      </w:r>
    </w:p>
    <w:p>
      <w:pPr>
        <w:numPr>
          <w:ilvl w:val="0"/>
          <w:numId w:val="1001"/>
        </w:numPr>
        <w:pStyle w:val="Compact"/>
      </w:pPr>
      <w:r>
        <w:rPr>
          <w:bCs/>
          <w:b/>
        </w:rPr>
        <w:t xml:space="preserve">Referral Networks:</w:t>
      </w:r>
      <w:r>
        <w:t xml:space="preserve"> </w:t>
      </w:r>
      <w:r>
        <w:t xml:space="preserve">Top-performing clinics (e.g., Moscow Eye Clinic) leverage their</w:t>
      </w:r>
      <w:r>
        <w:t xml:space="preserve"> </w:t>
      </w:r>
      <w:r>
        <w:rPr>
          <w:iCs/>
          <w:i/>
        </w:rPr>
        <w:t xml:space="preserve">Ophthalmologist</w:t>
      </w:r>
      <w:r>
        <w:t xml:space="preserve"> </w:t>
      </w:r>
      <w:r>
        <w:t xml:space="preserve">reputation to drive referrals, generating 47% of new patient acquisition.</w:t>
      </w:r>
    </w:p>
    <w:p>
      <w:pPr>
        <w:numPr>
          <w:ilvl w:val="0"/>
          <w:numId w:val="1001"/>
        </w:numPr>
        <w:pStyle w:val="Compact"/>
      </w:pPr>
      <w:r>
        <w:rPr>
          <w:bCs/>
          <w:b/>
        </w:rPr>
        <w:t xml:space="preserve">Regulatory Alignment:</w:t>
      </w:r>
      <w:r>
        <w:t xml:space="preserve"> </w:t>
      </w:r>
      <w:r>
        <w:t xml:space="preserve">All successful sales in Russia Moscow required compliance with Roszdravnadzor standards—a process where our local</w:t>
      </w:r>
      <w:r>
        <w:t xml:space="preserve"> </w:t>
      </w:r>
      <w:r>
        <w:rPr>
          <w:iCs/>
          <w:i/>
        </w:rPr>
        <w:t xml:space="preserve">Ophthalmologist</w:t>
      </w:r>
      <w:r>
        <w:t xml:space="preserve"> </w:t>
      </w:r>
      <w:r>
        <w:t xml:space="preserve">consultants provided critical regulatory navigation.</w:t>
      </w:r>
    </w:p>
    <w:bookmarkEnd w:id="25"/>
    <w:bookmarkStart w:id="26" w:name="X5cdf09fc520ed7bd8e4d80505a2122ba58188f3"/>
    <w:p>
      <w:pPr>
        <w:pStyle w:val="Heading2"/>
      </w:pPr>
      <w:r>
        <w:t xml:space="preserve">V. Challenges &amp; Strategic Imperatives for Russia Moscow</w:t>
      </w:r>
    </w:p>
    <w:p>
      <w:pPr>
        <w:pStyle w:val="FirstParagraph"/>
      </w:pPr>
      <w:r>
        <w:t xml:space="preserve">While growth is evident, three challenges demand immediate attention in the Russia Moscow market:</w:t>
      </w:r>
    </w:p>
    <w:p>
      <w:pPr>
        <w:numPr>
          <w:ilvl w:val="0"/>
          <w:numId w:val="1002"/>
        </w:numPr>
        <w:pStyle w:val="Compact"/>
      </w:pPr>
      <w:r>
        <w:rPr>
          <w:bCs/>
          <w:b/>
        </w:rPr>
        <w:t xml:space="preserve">Currency Volatility:</w:t>
      </w:r>
      <w:r>
        <w:t xml:space="preserve"> </w:t>
      </w:r>
      <w:r>
        <w:t xml:space="preserve">FX fluctuations reduced profit margins by 14% during Q3. Solution: Introduce ruble-denominated financing for equipment purchases.</w:t>
      </w:r>
    </w:p>
    <w:p>
      <w:pPr>
        <w:numPr>
          <w:ilvl w:val="0"/>
          <w:numId w:val="1002"/>
        </w:numPr>
        <w:pStyle w:val="Compact"/>
      </w:pPr>
      <w:r>
        <w:rPr>
          <w:bCs/>
          <w:b/>
        </w:rPr>
        <w:t xml:space="preserve">Regulatory Hurdles:</w:t>
      </w:r>
      <w:r>
        <w:t xml:space="preserve"> </w:t>
      </w:r>
      <w:r>
        <w:t xml:space="preserve">New Roszdravnadzor requirements for tele-ophthalmology systems delayed 27% of Q3 contracts. Response: Establish Moscow-based regulatory affairs team by Q1 2024.</w:t>
      </w:r>
    </w:p>
    <w:p>
      <w:pPr>
        <w:numPr>
          <w:ilvl w:val="0"/>
          <w:numId w:val="1002"/>
        </w:numPr>
        <w:pStyle w:val="Compact"/>
      </w:pPr>
      <w:r>
        <w:rPr>
          <w:bCs/>
          <w:b/>
        </w:rPr>
        <w:t xml:space="preserve">Talent Retention:</w:t>
      </w:r>
      <w:r>
        <w:t xml:space="preserve"> </w:t>
      </w:r>
      <w:r>
        <w:t xml:space="preserve">Competition for skilled ophthalmic technicians has increased by 33% in Moscow. Mitigation: Launch the "Moscow Ophthalmologist Accelerator" program offering competitive certification pathways.</w:t>
      </w:r>
    </w:p>
    <w:bookmarkEnd w:id="26"/>
    <w:bookmarkStart w:id="27" w:name="X6e031b4e09b35aa2dc2c3dd6e5a1bdbad6434fe"/>
    <w:p>
      <w:pPr>
        <w:pStyle w:val="Heading2"/>
      </w:pPr>
      <w:r>
        <w:t xml:space="preserve">VI. Future Outlook: Strategic Recommendations</w:t>
      </w:r>
    </w:p>
    <w:p>
      <w:pPr>
        <w:pStyle w:val="FirstParagraph"/>
      </w:pPr>
      <w:r>
        <w:t xml:space="preserve">This Sales Report concludes that sustained dominance in Russia Moscow requires doubling down on</w:t>
      </w:r>
      <w:r>
        <w:t xml:space="preserve"> </w:t>
      </w:r>
      <w:r>
        <w:rPr>
          <w:iCs/>
          <w:i/>
        </w:rPr>
        <w:t xml:space="preserve">Ophthalmologist</w:t>
      </w:r>
      <w:r>
        <w:t xml:space="preserve">-centric strategies:</w:t>
      </w:r>
    </w:p>
    <w:p>
      <w:pPr>
        <w:numPr>
          <w:ilvl w:val="0"/>
          <w:numId w:val="1003"/>
        </w:numPr>
        <w:pStyle w:val="Compact"/>
      </w:pPr>
      <w:r>
        <w:rPr>
          <w:bCs/>
          <w:b/>
        </w:rPr>
        <w:t xml:space="preserve">Establish Moscow Ophthalmology Hub:</w:t>
      </w:r>
      <w:r>
        <w:t xml:space="preserve"> </w:t>
      </w:r>
      <w:r>
        <w:t xml:space="preserve">Create a dedicated regional innovation center in central Moscow for real-time surgical training and product co-development with local</w:t>
      </w:r>
      <w:r>
        <w:t xml:space="preserve"> </w:t>
      </w:r>
      <w:r>
        <w:rPr>
          <w:iCs/>
          <w:i/>
        </w:rPr>
        <w:t xml:space="preserve">Ophthalmologist</w:t>
      </w:r>
      <w:r>
        <w:t xml:space="preserve">s.</w:t>
      </w:r>
    </w:p>
    <w:p>
      <w:pPr>
        <w:numPr>
          <w:ilvl w:val="0"/>
          <w:numId w:val="1003"/>
        </w:numPr>
        <w:pStyle w:val="Compact"/>
      </w:pPr>
      <w:r>
        <w:rPr>
          <w:bCs/>
          <w:b/>
        </w:rPr>
        <w:t xml:space="preserve">Leverage Government Initiatives:</w:t>
      </w:r>
      <w:r>
        <w:t xml:space="preserve"> </w:t>
      </w:r>
      <w:r>
        <w:t xml:space="preserve">Align with Russia's "Healthcare 2030" program by offering subsidized diagnostic packages to public clinics in Moscow—targeting 25 new partnerships by Q2 2024.</w:t>
      </w:r>
    </w:p>
    <w:p>
      <w:pPr>
        <w:numPr>
          <w:ilvl w:val="0"/>
          <w:numId w:val="1003"/>
        </w:numPr>
        <w:pStyle w:val="Compact"/>
      </w:pPr>
      <w:r>
        <w:rPr>
          <w:bCs/>
          <w:b/>
        </w:rPr>
        <w:t xml:space="preserve">Cultivate Next-Gen Ophthalmologist Leaders:</w:t>
      </w:r>
      <w:r>
        <w:t xml:space="preserve"> </w:t>
      </w:r>
      <w:r>
        <w:t xml:space="preserve">Partner with Moscow Medical University on scholarship programs for emerging surgeons, ensuring long-term product loyalty from the next generation of Russian eye care professionals.</w:t>
      </w:r>
    </w:p>
    <w:bookmarkEnd w:id="27"/>
    <w:bookmarkStart w:id="28" w:name="vii.-conclusion"/>
    <w:p>
      <w:pPr>
        <w:pStyle w:val="Heading2"/>
      </w:pPr>
      <w:r>
        <w:t xml:space="preserve">VII. Conclusion</w:t>
      </w:r>
    </w:p>
    <w:p>
      <w:pPr>
        <w:pStyle w:val="FirstParagraph"/>
      </w:pPr>
      <w:r>
        <w:t xml:space="preserve">The Russia Moscow market presents an unparalleled opportunity for ophthalmic innovation, but success hinges on authentic engagement with the local</w:t>
      </w:r>
      <w:r>
        <w:t xml:space="preserve"> </w:t>
      </w:r>
      <w:r>
        <w:rPr>
          <w:iCs/>
          <w:i/>
        </w:rPr>
        <w:t xml:space="preserve">Ophthalmologist</w:t>
      </w:r>
      <w:r>
        <w:t xml:space="preserve"> </w:t>
      </w:r>
      <w:r>
        <w:t xml:space="preserve">community. This Sales Report confirms that our Q3 performance (18% YoY revenue growth) is directly attributable to our strategic focus on building clinical partnerships rather than transactional sales. As Russia's healthcare infrastructure modernizes, Moscow will remain the critical testing ground for global ophthalmic solutions.</w:t>
      </w:r>
    </w:p>
    <w:p>
      <w:pPr>
        <w:pStyle w:val="BodyText"/>
      </w:pPr>
      <w:r>
        <w:t xml:space="preserve">Recommendation: Allocate 35% of Q4 2023 R&amp;D budget toward Moscow-specific product adaptations developed in collaboration with the city's leading</w:t>
      </w:r>
      <w:r>
        <w:t xml:space="preserve"> </w:t>
      </w:r>
      <w:r>
        <w:rPr>
          <w:iCs/>
          <w:i/>
        </w:rPr>
        <w:t xml:space="preserve">Ophthalmologist</w:t>
      </w:r>
      <w:r>
        <w:t xml:space="preserve">s. This targeted investment will solidify our market leadership while delivering tangible clinical benefits for patients across Russia Moscow.</w:t>
      </w:r>
    </w:p>
    <w:p>
      <w:pPr>
        <w:pStyle w:val="BodyText"/>
      </w:pPr>
      <w:r>
        <w:rPr>
          <w:bCs/>
          <w:b/>
        </w:rPr>
        <w:t xml:space="preserve">Report Verified By:</w:t>
      </w:r>
      <w:r>
        <w:t xml:space="preserve"> </w:t>
      </w:r>
      <w:r>
        <w:t xml:space="preserve">Elena Petrova, Regional Sales Director, Russia &amp; CIS</w:t>
      </w:r>
      <w:r>
        <w:br/>
      </w:r>
      <w:r>
        <w:rPr>
          <w:bCs/>
          <w:b/>
        </w:rPr>
        <w:t xml:space="preserve">Next Review Date:</w:t>
      </w:r>
      <w:r>
        <w:t xml:space="preserve"> </w:t>
      </w:r>
      <w:r>
        <w:t xml:space="preserve">January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Russia Moscow Market Analysis</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