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Saint</w:t>
      </w:r>
      <w:r>
        <w:t xml:space="preserve"> </w:t>
      </w:r>
      <w:r>
        <w:t xml:space="preserve">Petersburg,</w:t>
      </w:r>
      <w:r>
        <w:t xml:space="preserve"> </w:t>
      </w:r>
      <w:r>
        <w:t xml:space="preserve">Russia</w:t>
      </w:r>
    </w:p>
    <w:bookmarkStart w:id="28" w:name="X9173d9d782333ffda2b227b33e9f1c362e9450c"/>
    <w:p>
      <w:pPr>
        <w:pStyle w:val="Heading1"/>
      </w:pPr>
      <w:r>
        <w:t xml:space="preserve">Comprehensive Sales Report: Ophthalmology Services in Saint Petersburg, Russia</w:t>
      </w:r>
    </w:p>
    <w:bookmarkStart w:id="20" w:name="executive-summary"/>
    <w:p>
      <w:pPr>
        <w:pStyle w:val="Heading2"/>
      </w:pPr>
      <w:r>
        <w:t xml:space="preserve">Executive Summary</w:t>
      </w:r>
    </w:p>
    <w:p>
      <w:pPr>
        <w:pStyle w:val="FirstParagraph"/>
      </w:pPr>
      <w:r>
        <w:t xml:space="preserve">This Sales Report details the performance of ophthalmology services within the Saint Petersburg healthcare market during Q3 2023. As a leading specialist practice serving Russia's second-largest city, our clinic has demonstrated significant growth in patient acquisition and revenue streams. The report analyzes key metrics including patient volume, service adoption rates, competitive positioning, and market opportunities specific to Saint Petersburg's unique demographic and healthcare landscape. With Russia's aging population driving increased demand for ophthalmological care, this document provides actionable insights for strategic expansion in the Saint Petersburg region.</w:t>
      </w:r>
    </w:p>
    <w:bookmarkEnd w:id="20"/>
    <w:bookmarkStart w:id="21" w:name="X75f00ae711a6b3deb50436d745507d2d041b164"/>
    <w:p>
      <w:pPr>
        <w:pStyle w:val="Heading2"/>
      </w:pPr>
      <w:r>
        <w:t xml:space="preserve">Market Context: Ophthalmology Demand in Saint Petersburg</w:t>
      </w:r>
    </w:p>
    <w:p>
      <w:pPr>
        <w:pStyle w:val="FirstParagraph"/>
      </w:pPr>
      <w:r>
        <w:t xml:space="preserve">Saint Petersburg presents a critical market for ophthalmic services due to its demographic profile. As Russia's cultural and economic hub, the city houses over 5 million residents with a median age of 38.7 years – notably older than the national average. This aging population correlates directly with heightened prevalence of age-related eye conditions: cataracts (affecting 22% of seniors), glaucoma (18% incidence in over-60s), and diabetic retinopathy (14% among diabetics). According to the Russian Ministry of Health's 2023 epidemiological survey, Saint Petersburg records 37% more ophthalmology consultations than the national average. The city also hosts eight major ophthalmology centers competing for market share, creating both challenges and opportunities for specialized providers like our clinic.</w:t>
      </w:r>
    </w:p>
    <w:bookmarkEnd w:id="21"/>
    <w:bookmarkStart w:id="22" w:name="q3-2023-sales-performance-analysis"/>
    <w:p>
      <w:pPr>
        <w:pStyle w:val="Heading2"/>
      </w:pPr>
      <w:r>
        <w:t xml:space="preserve">Q3 2023 Sales Performance Analysis</w:t>
      </w:r>
    </w:p>
    <w:p>
      <w:pPr>
        <w:pStyle w:val="FirstParagraph"/>
      </w:pPr>
      <w:r>
        <w:rPr>
          <w:bCs/>
          <w:b/>
        </w:rPr>
        <w:t xml:space="preserve">Revenue Growth:</w:t>
      </w:r>
      <w:r>
        <w:t xml:space="preserve"> </w:t>
      </w:r>
      <w:r>
        <w:t xml:space="preserve">Total revenue reached ₽18.7 million (≈$205,000), representing a 19.3% quarterly increase and 41% year-over-year growth. This outperforms the Saint Petersburg healthcare sector average of 8.7%. Key drivers included expanded private patient services (62% of revenue) and successful partnerships with local corporate health insurers.</w:t>
      </w:r>
    </w:p>
    <w:p>
      <w:pPr>
        <w:pStyle w:val="BodyText"/>
      </w:pPr>
      <w:r>
        <w:rPr>
          <w:bCs/>
          <w:b/>
        </w:rPr>
        <w:t xml:space="preserve">Service Adoption Metrics:</w:t>
      </w:r>
    </w:p>
    <w:p>
      <w:pPr>
        <w:numPr>
          <w:ilvl w:val="0"/>
          <w:numId w:val="1001"/>
        </w:numPr>
        <w:pStyle w:val="Compact"/>
      </w:pPr>
      <w:r>
        <w:rPr>
          <w:iCs/>
          <w:i/>
        </w:rPr>
        <w:t xml:space="preserve">Cataract Surgery:</w:t>
      </w:r>
      <w:r>
        <w:t xml:space="preserve"> </w:t>
      </w:r>
      <w:r>
        <w:t xml:space="preserve">214 procedures (+31% YoY), capturing 38% market share in premium private sector. Highest demand from patients aged 65-75.</w:t>
      </w:r>
    </w:p>
    <w:p>
      <w:pPr>
        <w:numPr>
          <w:ilvl w:val="0"/>
          <w:numId w:val="1001"/>
        </w:numPr>
        <w:pStyle w:val="Compact"/>
      </w:pPr>
      <w:r>
        <w:rPr>
          <w:iCs/>
          <w:i/>
        </w:rPr>
        <w:t xml:space="preserve">Retinal Treatment:</w:t>
      </w:r>
      <w:r>
        <w:t xml:space="preserve"> </w:t>
      </w:r>
      <w:r>
        <w:t xml:space="preserve">87 laser sessions (+49% YoY) driven by diabetes management programs with local clinics.</w:t>
      </w:r>
    </w:p>
    <w:p>
      <w:pPr>
        <w:numPr>
          <w:ilvl w:val="0"/>
          <w:numId w:val="1001"/>
        </w:numPr>
        <w:pStyle w:val="Compact"/>
      </w:pPr>
      <w:r>
        <w:rPr>
          <w:iCs/>
          <w:i/>
        </w:rPr>
        <w:t xml:space="preserve">Laser Vision Correction (LASIK/PRK):</w:t>
      </w:r>
      <w:r>
        <w:t xml:space="preserve"> </w:t>
      </w:r>
      <w:r>
        <w:t xml:space="preserve">152 procedures (+27% YoY), with high demand among Saint Petersburg's professional workforce.</w:t>
      </w:r>
    </w:p>
    <w:p>
      <w:pPr>
        <w:numPr>
          <w:ilvl w:val="0"/>
          <w:numId w:val="1001"/>
        </w:numPr>
        <w:pStyle w:val="Compact"/>
      </w:pPr>
      <w:r>
        <w:rPr>
          <w:iCs/>
          <w:i/>
        </w:rPr>
        <w:t xml:space="preserve">Teleophthalmology Consultations:</w:t>
      </w:r>
      <w:r>
        <w:t xml:space="preserve"> </w:t>
      </w:r>
      <w:r>
        <w:t xml:space="preserve">316 remote sessions, up 180% from Q2, addressing rural referral needs across Leningrad Oblast.</w:t>
      </w:r>
    </w:p>
    <w:p>
      <w:pPr>
        <w:pStyle w:val="FirstParagraph"/>
      </w:pPr>
      <w:r>
        <w:rPr>
          <w:bCs/>
          <w:b/>
        </w:rPr>
        <w:t xml:space="preserve">Patient Acquisition Strategy:</w:t>
      </w:r>
      <w:r>
        <w:t xml:space="preserve"> </w:t>
      </w:r>
      <w:r>
        <w:t xml:space="preserve">Our targeted outreach to corporate clients in Saint Petersburg's IT and manufacturing sectors yielded 47 new contracts with companies like Yandex and Sberbank. These partnerships provided 23% of new private patients, significantly reducing customer acquisition costs compared to traditional advertising.</w:t>
      </w:r>
    </w:p>
    <w:bookmarkEnd w:id="22"/>
    <w:bookmarkStart w:id="23" w:name="competitive-landscape-assessment"/>
    <w:p>
      <w:pPr>
        <w:pStyle w:val="Heading2"/>
      </w:pPr>
      <w:r>
        <w:t xml:space="preserve">Competitive Landscape Assessment</w:t>
      </w:r>
    </w:p>
    <w:p>
      <w:pPr>
        <w:pStyle w:val="FirstParagraph"/>
      </w:pPr>
      <w:r>
        <w:t xml:space="preserve">Saint Petersburg's ophthalmology market is highly segmented: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Market Share</w:t>
            </w:r>
          </w:p>
        </w:tc>
        <w:tc>
          <w:tcPr/>
          <w:p>
            <w:pPr>
              <w:pStyle w:val="Compact"/>
              <w:jc w:val="left"/>
            </w:pPr>
            <w:r>
              <w:t xml:space="preserve">Our Competitive Edge</w:t>
            </w:r>
          </w:p>
        </w:tc>
      </w:tr>
      <w:tr>
        <w:tc>
          <w:tcPr/>
          <w:p>
            <w:pPr>
              <w:pStyle w:val="Compact"/>
              <w:jc w:val="left"/>
            </w:pPr>
            <w:r>
              <w:t xml:space="preserve">National Chain Clinics (e.g., "OftalmoCenter")</w:t>
            </w:r>
          </w:p>
        </w:tc>
        <w:tc>
          <w:tcPr/>
          <w:p>
            <w:pPr>
              <w:pStyle w:val="Compact"/>
              <w:jc w:val="left"/>
            </w:pPr>
            <w:r>
              <w:t xml:space="preserve">42%</w:t>
            </w:r>
          </w:p>
        </w:tc>
        <w:tc>
          <w:tcPr/>
          <w:p>
            <w:pPr>
              <w:pStyle w:val="Compact"/>
              <w:jc w:val="left"/>
            </w:pPr>
            <w:r>
              <w:t xml:space="preserve">Premium diagnostic technology (Optos ultra-widefield imaging), 20% faster appointment scheduling</w:t>
            </w:r>
          </w:p>
        </w:tc>
      </w:tr>
      <w:tr>
        <w:tc>
          <w:tcPr/>
          <w:p>
            <w:pPr>
              <w:pStyle w:val="Compact"/>
              <w:jc w:val="left"/>
            </w:pPr>
            <w:r>
              <w:t xml:space="preserve">Public Hospital Ophthalmology Units</w:t>
            </w:r>
          </w:p>
        </w:tc>
        <w:tc>
          <w:tcPr/>
          <w:p>
            <w:pPr>
              <w:pStyle w:val="Compact"/>
              <w:jc w:val="left"/>
            </w:pPr>
            <w:r>
              <w:t xml:space="preserve">35%</w:t>
            </w:r>
          </w:p>
        </w:tc>
        <w:tc>
          <w:tcPr/>
          <w:p>
            <w:pPr>
              <w:pStyle w:val="Compact"/>
              <w:jc w:val="left"/>
            </w:pPr>
            <w:r>
              <w:t xml:space="preserve">Clinic-level service customization, private room options unavailable in public sector</w:t>
            </w:r>
          </w:p>
        </w:tc>
      </w:tr>
      <w:tr>
        <w:tc>
          <w:tcPr/>
          <w:p>
            <w:pPr>
              <w:pStyle w:val="Compact"/>
              <w:jc w:val="left"/>
            </w:pPr>
            <w:r>
              <w:t xml:space="preserve">Specialized Private Practices (e.g., "VisionPlus")</w:t>
            </w:r>
          </w:p>
        </w:tc>
        <w:tc>
          <w:tcPr/>
          <w:p>
            <w:pPr>
              <w:pStyle w:val="Compact"/>
              <w:jc w:val="left"/>
            </w:pPr>
            <w:r>
              <w:t xml:space="preserve">18%</w:t>
            </w:r>
          </w:p>
        </w:tc>
        <w:tc>
          <w:tcPr/>
          <w:p>
            <w:pPr>
              <w:pStyle w:val="Compact"/>
              <w:jc w:val="left"/>
            </w:pPr>
            <w:r>
              <w:t xml:space="preserve">Bundled preventive care packages, lower out-of-pocket costs for seniors via insurance partnerships</w:t>
            </w:r>
          </w:p>
        </w:tc>
      </w:tr>
    </w:tbl>
    <w:p>
      <w:pPr>
        <w:pStyle w:val="BodyText"/>
      </w:pPr>
      <w:r>
        <w:t xml:space="preserve">The data confirms our niche in high-margin premium services – 68% of patients now opt for our comprehensive "Senior Eye Care" package (includes annual diagnostics, medication management, and priority surgery scheduling) versus competitors' basic service bundles.</w:t>
      </w:r>
    </w:p>
    <w:bookmarkEnd w:id="23"/>
    <w:bookmarkStart w:id="24" w:name="X3c1729e317648c66eb696fcaf07b0a75ed0fee5"/>
    <w:p>
      <w:pPr>
        <w:pStyle w:val="Heading2"/>
      </w:pPr>
      <w:r>
        <w:t xml:space="preserve">Market-Specific Challenges in Russia Saint Petersburg</w:t>
      </w:r>
    </w:p>
    <w:p>
      <w:pPr>
        <w:pStyle w:val="FirstParagraph"/>
      </w:pPr>
      <w:r>
        <w:t xml:space="preserve">Operating within the Russian regulatory framework presents unique hurdles. Our Q3 analysis identified three critical barriers:</w:t>
      </w:r>
    </w:p>
    <w:p>
      <w:pPr>
        <w:numPr>
          <w:ilvl w:val="0"/>
          <w:numId w:val="1002"/>
        </w:numPr>
        <w:pStyle w:val="Compact"/>
      </w:pPr>
      <w:r>
        <w:rPr>
          <w:iCs/>
          <w:i/>
        </w:rPr>
        <w:t xml:space="preserve">Supply Chain Volatility:</w:t>
      </w:r>
      <w:r>
        <w:t xml:space="preserve"> </w:t>
      </w:r>
      <w:r>
        <w:t xml:space="preserve">Import restrictions on advanced lens implants increased procurement costs by 23% during Q3, requiring dynamic pricing adjustments for surgical packages.</w:t>
      </w:r>
    </w:p>
    <w:p>
      <w:pPr>
        <w:numPr>
          <w:ilvl w:val="0"/>
          <w:numId w:val="1002"/>
        </w:numPr>
        <w:pStyle w:val="Compact"/>
      </w:pPr>
      <w:r>
        <w:rPr>
          <w:iCs/>
          <w:i/>
        </w:rPr>
        <w:t xml:space="preserve">Insurance Reimbursement Complexities:</w:t>
      </w:r>
      <w:r>
        <w:t xml:space="preserve"> </w:t>
      </w:r>
      <w:r>
        <w:t xml:space="preserve">Only 41% of local insurers cover premium ophthalmology services – significantly below the European average. This necessitates our sales team dedicating 15+ hours weekly to insurer negotiations.</w:t>
      </w:r>
    </w:p>
    <w:p>
      <w:pPr>
        <w:numPr>
          <w:ilvl w:val="0"/>
          <w:numId w:val="1002"/>
        </w:numPr>
        <w:pStyle w:val="Compact"/>
      </w:pPr>
      <w:r>
        <w:rPr>
          <w:iCs/>
          <w:i/>
        </w:rPr>
        <w:t xml:space="preserve">Cultural Healthcare Preferences:</w:t>
      </w:r>
      <w:r>
        <w:t xml:space="preserve"> </w:t>
      </w:r>
      <w:r>
        <w:t xml:space="preserve">Saint Petersburg patients demonstrate strong preference for established clinics over new entrants, requiring 27% longer patient conversion cycles than in Western markets.</w:t>
      </w:r>
    </w:p>
    <w:bookmarkEnd w:id="24"/>
    <w:bookmarkStart w:id="25" w:name="X3d4bae3cdcfc4219a0e0f4cc2e58ac17d0b423c"/>
    <w:p>
      <w:pPr>
        <w:pStyle w:val="Heading2"/>
      </w:pPr>
      <w:r>
        <w:t xml:space="preserve">Strategic Opportunities in the Russia Saint Petersburg Market</w:t>
      </w:r>
    </w:p>
    <w:p>
      <w:pPr>
        <w:pStyle w:val="FirstParagraph"/>
      </w:pPr>
      <w:r>
        <w:t xml:space="preserve">Beyond current growth, four high-potential opportunities were identified:</w:t>
      </w:r>
    </w:p>
    <w:p>
      <w:pPr>
        <w:numPr>
          <w:ilvl w:val="0"/>
          <w:numId w:val="1003"/>
        </w:numPr>
        <w:pStyle w:val="Compact"/>
      </w:pPr>
      <w:r>
        <w:rPr>
          <w:iCs/>
          <w:i/>
        </w:rPr>
        <w:t xml:space="preserve">Geriatric Ophthalmology Expansion:</w:t>
      </w:r>
      <w:r>
        <w:t xml:space="preserve"> </w:t>
      </w:r>
      <w:r>
        <w:t xml:space="preserve">Partnering with Saint Petersburg's 14 senior care facilities to implement preventative screening programs could capture 900+ new patients annually.</w:t>
      </w:r>
    </w:p>
    <w:p>
      <w:pPr>
        <w:numPr>
          <w:ilvl w:val="0"/>
          <w:numId w:val="1003"/>
        </w:numPr>
        <w:pStyle w:val="Compact"/>
      </w:pPr>
      <w:r>
        <w:rPr>
          <w:iCs/>
          <w:i/>
        </w:rPr>
        <w:t xml:space="preserve">Digital Health Integration:</w:t>
      </w:r>
      <w:r>
        <w:t xml:space="preserve"> </w:t>
      </w:r>
      <w:r>
        <w:t xml:space="preserve">Launching a dedicated "Saint Petersburg Eye Health" app for appointment management and teleconsultations – projected to increase patient retention by 35%.</w:t>
      </w:r>
    </w:p>
    <w:p>
      <w:pPr>
        <w:numPr>
          <w:ilvl w:val="0"/>
          <w:numId w:val="1003"/>
        </w:numPr>
        <w:pStyle w:val="Compact"/>
      </w:pPr>
      <w:r>
        <w:rPr>
          <w:iCs/>
          <w:i/>
        </w:rPr>
        <w:t xml:space="preserve">Corporate Wellness Programs:</w:t>
      </w:r>
      <w:r>
        <w:t xml:space="preserve"> </w:t>
      </w:r>
      <w:r>
        <w:t xml:space="preserve">Tailored eye care packages for Saint Petersburg's top 100 companies (employing 120,000+ workers) represents a $5.3M potential revenue stream.</w:t>
      </w:r>
    </w:p>
    <w:p>
      <w:pPr>
        <w:numPr>
          <w:ilvl w:val="0"/>
          <w:numId w:val="1003"/>
        </w:numPr>
        <w:pStyle w:val="Compact"/>
      </w:pPr>
      <w:r>
        <w:rPr>
          <w:iCs/>
          <w:i/>
        </w:rPr>
        <w:t xml:space="preserve">Medical Tourism Initiative:</w:t>
      </w:r>
      <w:r>
        <w:t xml:space="preserve"> </w:t>
      </w:r>
      <w:r>
        <w:t xml:space="preserve">Developing Russian-language service packages for CIS patients traveling to Saint Petersburg – supported by the city's direct flight network to Minsk, Tashkent, and Ashgabat.</w:t>
      </w:r>
    </w:p>
    <w:bookmarkEnd w:id="25"/>
    <w:bookmarkStart w:id="26" w:name="recommendations-for-sales-optimization"/>
    <w:p>
      <w:pPr>
        <w:pStyle w:val="Heading2"/>
      </w:pPr>
      <w:r>
        <w:t xml:space="preserve">Recommendations for Sales Optimization</w:t>
      </w:r>
    </w:p>
    <w:p>
      <w:pPr>
        <w:pStyle w:val="FirstParagraph"/>
      </w:pPr>
      <w:r>
        <w:t xml:space="preserve">To capitalize on market potential while addressing current challenges, we propose:</w:t>
      </w:r>
    </w:p>
    <w:p>
      <w:pPr>
        <w:numPr>
          <w:ilvl w:val="0"/>
          <w:numId w:val="1004"/>
        </w:numPr>
        <w:pStyle w:val="Compact"/>
      </w:pPr>
      <w:r>
        <w:rPr>
          <w:iCs/>
          <w:i/>
        </w:rPr>
        <w:t xml:space="preserve">Technology Investment:</w:t>
      </w:r>
      <w:r>
        <w:t xml:space="preserve"> </w:t>
      </w:r>
      <w:r>
        <w:t xml:space="preserve">Allocate ₽4.5M (≈$50,000) for AI-driven retinal analysis tools by Q1 2024 to improve diagnostic accuracy and differentiate from competitors in Russia Saint Petersburg.</w:t>
      </w:r>
    </w:p>
    <w:p>
      <w:pPr>
        <w:numPr>
          <w:ilvl w:val="0"/>
          <w:numId w:val="1004"/>
        </w:numPr>
        <w:pStyle w:val="Compact"/>
      </w:pPr>
      <w:r>
        <w:rPr>
          <w:iCs/>
          <w:i/>
        </w:rPr>
        <w:t xml:space="preserve">Insurance Strategy Overhaul:</w:t>
      </w:r>
      <w:r>
        <w:t xml:space="preserve"> </w:t>
      </w:r>
      <w:r>
        <w:t xml:space="preserve">Dedicate a specialist sales role focused exclusively on negotiating premium service coverage with the five largest local insurers (SOGAZ, Ingosstrakh, etc.), targeting 70% coverage for key procedures by Q2 2024.</w:t>
      </w:r>
    </w:p>
    <w:p>
      <w:pPr>
        <w:numPr>
          <w:ilvl w:val="0"/>
          <w:numId w:val="1004"/>
        </w:numPr>
        <w:pStyle w:val="Compact"/>
      </w:pPr>
      <w:r>
        <w:rPr>
          <w:iCs/>
          <w:i/>
        </w:rPr>
        <w:t xml:space="preserve">Community Outreach Program:</w:t>
      </w:r>
      <w:r>
        <w:t xml:space="preserve"> </w:t>
      </w:r>
      <w:r>
        <w:t xml:space="preserve">Partner with Saint Petersburg's Department of Health for free annual eye screening events at municipal facilities, generating leads and enhancing brand trust within the community.</w:t>
      </w:r>
    </w:p>
    <w:p>
      <w:pPr>
        <w:numPr>
          <w:ilvl w:val="0"/>
          <w:numId w:val="1004"/>
        </w:numPr>
        <w:pStyle w:val="Compact"/>
      </w:pPr>
      <w:r>
        <w:rPr>
          <w:iCs/>
          <w:i/>
        </w:rPr>
        <w:t xml:space="preserve">Senior Care Network Development:</w:t>
      </w:r>
      <w:r>
        <w:t xml:space="preserve"> </w:t>
      </w:r>
      <w:r>
        <w:t xml:space="preserve">Establish referral agreements with 12 additional senior living complexes in Leningrad Oblast to secure steady patient pipeline.</w:t>
      </w:r>
    </w:p>
    <w:bookmarkEnd w:id="26"/>
    <w:bookmarkStart w:id="27" w:name="conclusion-sustainable-growth-pathway"/>
    <w:p>
      <w:pPr>
        <w:pStyle w:val="Heading2"/>
      </w:pPr>
      <w:r>
        <w:t xml:space="preserve">Conclusion: Sustainable Growth Pathway</w:t>
      </w:r>
    </w:p>
    <w:p>
      <w:pPr>
        <w:pStyle w:val="FirstParagraph"/>
      </w:pPr>
      <w:r>
        <w:t xml:space="preserve">The Q3 Sales Report confirms Saint Petersburg's ophthalmology market offers exceptional growth potential for specialized providers. With our current 38% market share in premium private services and strategic focus on Russia's demographic needs, we project 24% revenue growth for 2024. The key to sustained success lies in deepening community integration while leveraging technology to overcome local regulatory barriers. As the only ophthalmology practice in Saint Petersburg offering comprehensive teleophthalmology services with Russian-language support, we are uniquely positioned to become the region's leading eye care provider. Immediate implementation of these recommendations will secure our market leadership and drive profitability through Russia's evolving healthcare landscape.</w:t>
      </w:r>
    </w:p>
    <w:p>
      <w:pPr>
        <w:pStyle w:val="BodyText"/>
      </w:pPr>
      <w:r>
        <w:rPr>
          <w:iCs/>
          <w:i/>
        </w:rPr>
        <w:t xml:space="preserve">Prepared by: Sales Strategy Division, Ophthalmology Services</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Saint Petersburg, Russia</dc:title>
  <dc:creator/>
  <dc:language>en</dc:language>
  <cp:keywords/>
  <dcterms:created xsi:type="dcterms:W3CDTF">2026-07-24T15:02:50Z</dcterms:created>
  <dcterms:modified xsi:type="dcterms:W3CDTF">2026-07-24T15:02:50Z</dcterms:modified>
</cp:coreProperties>
</file>

<file path=docProps/custom.xml><?xml version="1.0" encoding="utf-8"?>
<Properties xmlns="http://schemas.openxmlformats.org/officeDocument/2006/custom-properties" xmlns:vt="http://schemas.openxmlformats.org/officeDocument/2006/docPropsVTypes"/>
</file>