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Riyadh,</w:t>
      </w:r>
      <w:r>
        <w:t xml:space="preserve"> </w:t>
      </w:r>
      <w:r>
        <w:t xml:space="preserve">Saudi</w:t>
      </w:r>
      <w:r>
        <w:t xml:space="preserve"> </w:t>
      </w:r>
      <w:r>
        <w:t xml:space="preserve">Arabia</w:t>
      </w:r>
    </w:p>
    <w:bookmarkStart w:id="28" w:name="X5ae4c95716d4f803478c066c45a33f4a4d14af0"/>
    <w:p>
      <w:pPr>
        <w:pStyle w:val="Heading1"/>
      </w:pPr>
      <w:r>
        <w:t xml:space="preserve">SALES REPORT FOR OPHTHALMOLOGIST PRACTICE IN RIYADH, SAUDI ARABIA</w:t>
      </w:r>
    </w:p>
    <w:p>
      <w:pPr>
        <w:pStyle w:val="FirstParagraph"/>
      </w:pPr>
      <w:r>
        <w:t xml:space="preserve">Quarterly Performance Analysis | Q3 2023 | Riyadh Ophthalmology Network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leading ophthalmology practice in Riyadh, Saudi Arabia. As a premier eye care provider serving the Kingdom's capital, we've achieved remarkable growth in patient volume and service revenue during Q3 2023. The data underscores the critical importance of specialized ophthalmic services within Saudi Arabia's rapidly evolving healthcare landscape. This</w:t>
      </w:r>
      <w:r>
        <w:t xml:space="preserve"> </w:t>
      </w:r>
      <w:r>
        <w:rPr>
          <w:bCs/>
          <w:b/>
        </w:rPr>
        <w:t xml:space="preserve">Sales Report</w:t>
      </w:r>
      <w:r>
        <w:t xml:space="preserve"> </w:t>
      </w:r>
      <w:r>
        <w:t xml:space="preserve">demonstrates how our</w:t>
      </w:r>
      <w:r>
        <w:t xml:space="preserve"> </w:t>
      </w:r>
      <w:r>
        <w:rPr>
          <w:bCs/>
          <w:b/>
        </w:rPr>
        <w:t xml:space="preserve">Ophthalmologist</w:t>
      </w:r>
      <w:r>
        <w:t xml:space="preserve"> </w:t>
      </w:r>
      <w:r>
        <w:t xml:space="preserve">team has successfully met rising demand for advanced eye care across Riyadh.</w:t>
      </w:r>
    </w:p>
    <w:bookmarkEnd w:id="20"/>
    <w:bookmarkStart w:id="21" w:name="market-context-in-saudi-arabia-riyadh"/>
    <w:p>
      <w:pPr>
        <w:pStyle w:val="Heading2"/>
      </w:pPr>
      <w:r>
        <w:t xml:space="preserve">Market Context in Saudi Arabia Riyadh</w:t>
      </w:r>
    </w:p>
    <w:p>
      <w:pPr>
        <w:pStyle w:val="FirstParagraph"/>
      </w:pPr>
      <w:r>
        <w:t xml:space="preserve">Riyadh's ophthalmology market has experienced exponential growth due to Saudi Vision 2030 healthcare initiatives and rising prevalence of diabetic retinopathy, glaucoma, and age-related macular degeneration. With over 9 million residents in Riyadh alone, the demand for specialized eye care exceeds current capacity by 35%. Our practice has positioned itself as a leader by aligning with Saudi Arabia's national health strategy while addressing unique regional challenges like high UV exposure and desert climate-related ocular conditions. This</w:t>
      </w:r>
      <w:r>
        <w:t xml:space="preserve"> </w:t>
      </w:r>
      <w:r>
        <w:rPr>
          <w:bCs/>
          <w:b/>
        </w:rPr>
        <w:t xml:space="preserve">Sales Report</w:t>
      </w:r>
      <w:r>
        <w:t xml:space="preserve"> </w:t>
      </w:r>
      <w:r>
        <w:t xml:space="preserve">confirms our strategic advantage in the Riyadh market.</w:t>
      </w:r>
    </w:p>
    <w:bookmarkEnd w:id="21"/>
    <w:bookmarkStart w:id="23"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Patient Visits (All Services)</w:t>
            </w:r>
          </w:p>
        </w:tc>
        <w:tc>
          <w:tcPr/>
          <w:p>
            <w:pPr>
              <w:pStyle w:val="Compact"/>
              <w:jc w:val="left"/>
            </w:pPr>
            <w:r>
              <w:t xml:space="preserve">14,250</w:t>
            </w:r>
          </w:p>
        </w:tc>
        <w:tc>
          <w:tcPr/>
          <w:p>
            <w:pPr>
              <w:pStyle w:val="Compact"/>
              <w:jc w:val="left"/>
            </w:pPr>
            <w:r>
              <w:t xml:space="preserve">12,870</w:t>
            </w:r>
          </w:p>
        </w:tc>
        <w:tc>
          <w:tcPr/>
          <w:p>
            <w:pPr>
              <w:pStyle w:val="Compact"/>
              <w:jc w:val="left"/>
            </w:pPr>
            <w:r>
              <w:t xml:space="preserve">+10.7%</w:t>
            </w:r>
          </w:p>
        </w:tc>
      </w:tr>
      <w:tr>
        <w:tc>
          <w:tcPr/>
          <w:p>
            <w:pPr>
              <w:pStyle w:val="Compact"/>
              <w:jc w:val="left"/>
            </w:pPr>
            <w:r>
              <w:t xml:space="preserve">Surgical Procedures (Cataract/Retina)</w:t>
            </w:r>
          </w:p>
        </w:tc>
        <w:tc>
          <w:tcPr/>
          <w:p>
            <w:pPr>
              <w:pStyle w:val="Compact"/>
              <w:jc w:val="left"/>
            </w:pPr>
            <w:r>
              <w:t xml:space="preserve">842</w:t>
            </w:r>
          </w:p>
        </w:tc>
        <w:tc>
          <w:tcPr/>
          <w:p>
            <w:pPr>
              <w:pStyle w:val="Compact"/>
              <w:jc w:val="left"/>
            </w:pPr>
            <w:r>
              <w:t xml:space="preserve">751</w:t>
            </w:r>
          </w:p>
        </w:tc>
        <w:tc>
          <w:tcPr/>
          <w:p>
            <w:pPr>
              <w:pStyle w:val="Compact"/>
              <w:jc w:val="left"/>
            </w:pPr>
            <w:r>
              <w:t xml:space="preserve">+12.1%</w:t>
            </w:r>
          </w:p>
        </w:tc>
      </w:tr>
      <w:tr>
        <w:tc>
          <w:tcPr/>
          <w:p>
            <w:pPr>
              <w:pStyle w:val="Compact"/>
              <w:jc w:val="left"/>
            </w:pPr>
            <w:r>
              <w:t xml:space="preserve">Laser Vision Correction (LASIK)</w:t>
            </w:r>
          </w:p>
        </w:tc>
        <w:tc>
          <w:tcPr/>
          <w:p>
            <w:pPr>
              <w:pStyle w:val="Compact"/>
              <w:jc w:val="left"/>
            </w:pPr>
            <w:r>
              <w:t xml:space="preserve">387</w:t>
            </w:r>
          </w:p>
        </w:tc>
        <w:tc>
          <w:tcPr/>
          <w:p>
            <w:pPr>
              <w:pStyle w:val="Compact"/>
              <w:jc w:val="left"/>
            </w:pPr>
            <w:r>
              <w:t xml:space="preserve">345</w:t>
            </w:r>
          </w:p>
        </w:tc>
        <w:tc>
          <w:tcPr/>
          <w:p>
            <w:pPr>
              <w:pStyle w:val="Compact"/>
              <w:jc w:val="left"/>
            </w:pPr>
            <w:r>
              <w:t xml:space="preserve">+12.2%</w:t>
            </w:r>
          </w:p>
        </w:tc>
      </w:tr>
      <w:tr>
        <w:tc>
          <w:tcPr/>
          <w:p>
            <w:pPr>
              <w:pStyle w:val="Compact"/>
              <w:jc w:val="left"/>
            </w:pPr>
            <w:r>
              <w:t xml:space="preserve">Diagnostic Services Revenue</w:t>
            </w:r>
          </w:p>
        </w:tc>
        <w:tc>
          <w:tcPr/>
          <w:p>
            <w:pPr>
              <w:pStyle w:val="Compact"/>
              <w:jc w:val="left"/>
            </w:pPr>
            <w:r>
              <w:t xml:space="preserve">SAR 5,874,000</w:t>
            </w:r>
          </w:p>
        </w:tc>
        <w:tc>
          <w:tcPr/>
          <w:p>
            <w:pPr>
              <w:pStyle w:val="Compact"/>
              <w:jc w:val="left"/>
            </w:pPr>
            <w:r>
              <w:t xml:space="preserve">SAR 5,198,000</w:t>
            </w:r>
          </w:p>
        </w:tc>
        <w:tc>
          <w:tcPr/>
          <w:p>
            <w:pPr>
              <w:pStyle w:val="Compact"/>
              <w:jc w:val="left"/>
            </w:pPr>
            <w:r>
              <w:t xml:space="preserve">+13.0%</w:t>
            </w:r>
          </w:p>
        </w:tc>
      </w:tr>
      <w:tr>
        <w:tc>
          <w:tcPr/>
          <w:p>
            <w:pPr>
              <w:pStyle w:val="Compact"/>
              <w:jc w:val="left"/>
            </w:pPr>
            <w:r>
              <w:t xml:space="preserve">Total Practice Revenue</w:t>
            </w:r>
          </w:p>
        </w:tc>
        <w:tc>
          <w:tcPr/>
          <w:p>
            <w:pPr>
              <w:pStyle w:val="Compact"/>
              <w:jc w:val="left"/>
            </w:pPr>
            <w:r>
              <w:t xml:space="preserve">SAR 18,650,000</w:t>
            </w:r>
          </w:p>
        </w:tc>
        <w:tc>
          <w:tcPr/>
          <w:p>
            <w:pPr>
              <w:pStyle w:val="Compact"/>
              <w:jc w:val="left"/>
            </w:pPr>
            <w:r>
              <w:t xml:space="preserve">SAR 16,925,000</w:t>
            </w:r>
          </w:p>
        </w:tc>
        <w:tc>
          <w:tcPr/>
          <w:p>
            <w:pPr>
              <w:pStyle w:val="Compact"/>
              <w:jc w:val="left"/>
            </w:pPr>
            <w:r>
              <w:t xml:space="preserve">+10.2%</w:t>
            </w:r>
          </w:p>
        </w:tc>
      </w:tr>
    </w:tbl>
    <w:bookmarkStart w:id="22" w:name="key-driver-analysis"/>
    <w:p>
      <w:pPr>
        <w:pStyle w:val="Heading3"/>
      </w:pPr>
      <w:r>
        <w:t xml:space="preserve">Key Driver Analysis</w:t>
      </w:r>
    </w:p>
    <w:p>
      <w:pPr>
        <w:pStyle w:val="FirstParagraph"/>
      </w:pPr>
      <w:r>
        <w:t xml:space="preserve">Our exceptional performance in Saudi Arabia Riyadh stems from three strategic pillars:</w:t>
      </w:r>
    </w:p>
    <w:p>
      <w:pPr>
        <w:numPr>
          <w:ilvl w:val="0"/>
          <w:numId w:val="1001"/>
        </w:numPr>
        <w:pStyle w:val="Compact"/>
      </w:pPr>
      <w:r>
        <w:rPr>
          <w:bCs/>
          <w:b/>
        </w:rPr>
        <w:t xml:space="preserve">Specialized Ophthalmologist Team:</w:t>
      </w:r>
      <w:r>
        <w:t xml:space="preserve"> </w:t>
      </w:r>
      <w:r>
        <w:t xml:space="preserve">Our seven board-certified ophthalmologists (including two fellowship-trained retinal specialists) handle complex cases that local clinics refer. Patient satisfaction scores reached 96.8% – exceeding Riyadh's average by 22%.</w:t>
      </w:r>
    </w:p>
    <w:p>
      <w:pPr>
        <w:numPr>
          <w:ilvl w:val="0"/>
          <w:numId w:val="1001"/>
        </w:numPr>
        <w:pStyle w:val="Compact"/>
      </w:pPr>
      <w:r>
        <w:rPr>
          <w:bCs/>
          <w:b/>
        </w:rPr>
        <w:t xml:space="preserve">Technology Integration:</w:t>
      </w:r>
      <w:r>
        <w:t xml:space="preserve"> </w:t>
      </w:r>
      <w:r>
        <w:t xml:space="preserve">The adoption of AI-assisted OCT scanners and tele-ophthalmology platforms has increased diagnostic accuracy by 31% while reducing wait times from 14 to 7 days in Riyadh.</w:t>
      </w:r>
    </w:p>
    <w:p>
      <w:pPr>
        <w:numPr>
          <w:ilvl w:val="0"/>
          <w:numId w:val="1001"/>
        </w:numPr>
        <w:pStyle w:val="Compact"/>
      </w:pPr>
      <w:r>
        <w:rPr>
          <w:bCs/>
          <w:b/>
        </w:rPr>
        <w:t xml:space="preserve">Cultural Alignment:</w:t>
      </w:r>
      <w:r>
        <w:t xml:space="preserve"> </w:t>
      </w:r>
      <w:r>
        <w:t xml:space="preserve">We've implemented Ramadan-friendly appointment scheduling, female ophthalmologist options for conservative patients, and Arabic-language digital health tools – directly addressing Saudi cultural preferences.</w:t>
      </w:r>
    </w:p>
    <w:bookmarkEnd w:id="22"/>
    <w:bookmarkEnd w:id="23"/>
    <w:bookmarkStart w:id="24" w:name="competitive-landscape-in-riyadh"/>
    <w:p>
      <w:pPr>
        <w:pStyle w:val="Heading2"/>
      </w:pPr>
      <w:r>
        <w:t xml:space="preserve">Competitive Landscape in Riyadh</w:t>
      </w:r>
    </w:p>
    <w:p>
      <w:pPr>
        <w:pStyle w:val="FirstParagraph"/>
      </w:pPr>
      <w:r>
        <w:t xml:space="preserve">While Riyadh hosts over 47 ophthalmology clinics, our practice dominates the premium segment (38% market share for advanced procedures). Competitors struggle with outdated equipment and limited Arabic-speaking staff. This</w:t>
      </w:r>
      <w:r>
        <w:t xml:space="preserve"> </w:t>
      </w:r>
      <w:r>
        <w:rPr>
          <w:bCs/>
          <w:b/>
        </w:rPr>
        <w:t xml:space="preserve">Sales Report</w:t>
      </w:r>
      <w:r>
        <w:t xml:space="preserve"> </w:t>
      </w:r>
      <w:r>
        <w:t xml:space="preserve">reveals that our investment in cutting-edge technology and culturally competent care has created a significant moat against competitors in Saudi Arabia Riyadh. Notably, 68% of new patients came through physician referrals from primary care clinics across the capital.</w:t>
      </w:r>
    </w:p>
    <w:bookmarkEnd w:id="24"/>
    <w:bookmarkStart w:id="25" w:name="regional-challenges-strategic-response"/>
    <w:p>
      <w:pPr>
        <w:pStyle w:val="Heading2"/>
      </w:pPr>
      <w:r>
        <w:t xml:space="preserve">Regional Challenges &amp; Strategic Response</w:t>
      </w:r>
    </w:p>
    <w:p>
      <w:pPr>
        <w:pStyle w:val="FirstParagraph"/>
      </w:pPr>
      <w:r>
        <w:t xml:space="preserve">Despite strong performance, we identified critical challenges in Saudi Arabia Riyadh:</w:t>
      </w:r>
    </w:p>
    <w:p>
      <w:pPr>
        <w:numPr>
          <w:ilvl w:val="0"/>
          <w:numId w:val="1002"/>
        </w:numPr>
        <w:pStyle w:val="Compact"/>
      </w:pPr>
      <w:r>
        <w:rPr>
          <w:bCs/>
          <w:b/>
        </w:rPr>
        <w:t xml:space="preserve">Supply Chain Constraints:</w:t>
      </w:r>
      <w:r>
        <w:t xml:space="preserve"> </w:t>
      </w:r>
      <w:r>
        <w:t xml:space="preserve">Imported ophthalmic consumables faced 3-4 month delays. Our solution: Partnered with Saudi-based medical distributor Al-Harby to establish local inventory hubs in Riyadh, reducing supply lead times by 78%.</w:t>
      </w:r>
    </w:p>
    <w:p>
      <w:pPr>
        <w:numPr>
          <w:ilvl w:val="0"/>
          <w:numId w:val="1002"/>
        </w:numPr>
        <w:pStyle w:val="Compact"/>
      </w:pPr>
      <w:r>
        <w:rPr>
          <w:bCs/>
          <w:b/>
        </w:rPr>
        <w:t xml:space="preserve">Patient Awareness Gap:</w:t>
      </w:r>
      <w:r>
        <w:t xml:space="preserve"> </w:t>
      </w:r>
      <w:r>
        <w:t xml:space="preserve">Only 29% of Riyadh residents knew about early glaucoma detection options. Our response: Launched "Sight First" community screening campaign across 12 districts (including King Abdullah Financial District), generating 3,400 new leads.</w:t>
      </w:r>
    </w:p>
    <w:bookmarkEnd w:id="25"/>
    <w:bookmarkStart w:id="26" w:name="X573be115be2e767f4558ebe552ef3c19291151b"/>
    <w:p>
      <w:pPr>
        <w:pStyle w:val="Heading2"/>
      </w:pPr>
      <w:r>
        <w:t xml:space="preserve">Future Outlook for Riyadh Ophthalmology Market</w:t>
      </w:r>
    </w:p>
    <w:p>
      <w:pPr>
        <w:pStyle w:val="FirstParagraph"/>
      </w:pPr>
      <w:r>
        <w:t xml:space="preserve">This</w:t>
      </w:r>
      <w:r>
        <w:t xml:space="preserve"> </w:t>
      </w:r>
      <w:r>
        <w:rPr>
          <w:bCs/>
          <w:b/>
        </w:rPr>
        <w:t xml:space="preserve">Sales Report</w:t>
      </w:r>
      <w:r>
        <w:t xml:space="preserve"> </w:t>
      </w:r>
      <w:r>
        <w:t xml:space="preserve">projects sustained growth in Saudi Arabia Riyadh's ophthalmology sector through 2025. We anticipate:</w:t>
      </w:r>
    </w:p>
    <w:p>
      <w:pPr>
        <w:numPr>
          <w:ilvl w:val="0"/>
          <w:numId w:val="1003"/>
        </w:numPr>
        <w:pStyle w:val="Compact"/>
      </w:pPr>
      <w:r>
        <w:t xml:space="preserve">34% CAGR for retinal surgery services (driven by aging population)</w:t>
      </w:r>
    </w:p>
    <w:p>
      <w:pPr>
        <w:numPr>
          <w:ilvl w:val="0"/>
          <w:numId w:val="1003"/>
        </w:numPr>
        <w:pStyle w:val="Compact"/>
      </w:pPr>
      <w:r>
        <w:t xml:space="preserve">Expansion into pediatric ophthalmology to address high congenital cataract rates</w:t>
      </w:r>
    </w:p>
    <w:p>
      <w:pPr>
        <w:numPr>
          <w:ilvl w:val="0"/>
          <w:numId w:val="1003"/>
        </w:numPr>
        <w:pStyle w:val="Compact"/>
      </w:pPr>
      <w:r>
        <w:t xml:space="preserve">New revenue streams from AI-driven predictive analytics for diabetic eye disease</w:t>
      </w:r>
    </w:p>
    <w:p>
      <w:pPr>
        <w:pStyle w:val="FirstParagraph"/>
      </w:pPr>
      <w:r>
        <w:t xml:space="preserve">The success of our Riyadh practice proves that specialized care delivered by expert</w:t>
      </w:r>
      <w:r>
        <w:t xml:space="preserve"> </w:t>
      </w:r>
      <w:r>
        <w:rPr>
          <w:bCs/>
          <w:b/>
        </w:rPr>
        <w:t xml:space="preserve">Ophthalmologist</w:t>
      </w:r>
      <w:r>
        <w:t xml:space="preserve"> </w:t>
      </w:r>
      <w:r>
        <w:t xml:space="preserve">teams is the cornerstone of healthcare excellence in Saudi Arabia. As Vision 2030 accelerates medical infrastructure development, our clinic's data-driven approach to patient acquisition and retention sets a benchmark for ophthalmology practices across the Kingdom. This</w:t>
      </w:r>
      <w:r>
        <w:t xml:space="preserve"> </w:t>
      </w:r>
      <w:r>
        <w:rPr>
          <w:bCs/>
          <w:b/>
        </w:rPr>
        <w:t xml:space="preserve">Sales Report</w:t>
      </w:r>
      <w:r>
        <w:t xml:space="preserve"> </w:t>
      </w:r>
      <w:r>
        <w:t xml:space="preserve">confirms that strategic investment in Riyadh's unique market needs yields exceptional returns while advancing Saudi Arabia's healthcare ambitions.</w:t>
      </w:r>
    </w:p>
    <w:bookmarkEnd w:id="26"/>
    <w:bookmarkStart w:id="27" w:name="conclusion"/>
    <w:p>
      <w:pPr>
        <w:pStyle w:val="Heading2"/>
      </w:pPr>
      <w:r>
        <w:t xml:space="preserve">Conclusion</w:t>
      </w:r>
    </w:p>
    <w:p>
      <w:pPr>
        <w:pStyle w:val="FirstParagraph"/>
      </w:pPr>
      <w:r>
        <w:t xml:space="preserve">Our Q3 performance in Riyadh, Saudi Arabia demonstrates that premium ophthalmology services command market leadership when aligned with national healthcare priorities and cultural context. The</w:t>
      </w:r>
      <w:r>
        <w:t xml:space="preserve"> </w:t>
      </w:r>
      <w:r>
        <w:rPr>
          <w:bCs/>
          <w:b/>
        </w:rPr>
        <w:t xml:space="preserve">Ophthalmologist</w:t>
      </w:r>
      <w:r>
        <w:t xml:space="preserve"> </w:t>
      </w:r>
      <w:r>
        <w:t xml:space="preserve">team's clinical excellence combined with strategic business execution has driven unprecedented growth in this critical sector. As Saudi Arabia Riyadh continues to transform its healthcare ecosystem, this practice serves as a model for sustainable, high-value eye care delivery. We project 15% revenue growth for Q4 2023 and are positioning ourselves for regional expansion across the Kingdom's major cities.</w:t>
      </w:r>
    </w:p>
    <w:p>
      <w:pPr>
        <w:pStyle w:val="BodyText"/>
      </w:pPr>
      <w:r>
        <w:t xml:space="preserve">Prepared by Riyadh Ophthalmology Network | Sales &amp; Strategy Department |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Riyadh, Saudi Arabia</dc:title>
  <dc:creator/>
  <dc:language>en</dc:language>
  <cp:keywords/>
  <dcterms:created xsi:type="dcterms:W3CDTF">2025-12-11T17:04:56Z</dcterms:created>
  <dcterms:modified xsi:type="dcterms:W3CDTF">2025-12-11T17:04:56Z</dcterms:modified>
</cp:coreProperties>
</file>

<file path=docProps/custom.xml><?xml version="1.0" encoding="utf-8"?>
<Properties xmlns="http://schemas.openxmlformats.org/officeDocument/2006/custom-properties" xmlns:vt="http://schemas.openxmlformats.org/officeDocument/2006/docPropsVTypes"/>
</file>