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Singapore</w:t>
      </w:r>
      <w:r>
        <w:t xml:space="preserve"> </w:t>
      </w:r>
      <w:r>
        <w:t xml:space="preserve">Singapore</w:t>
      </w:r>
    </w:p>
    <w:bookmarkStart w:id="33" w:name="Xc76a50733917b09821b5eae2af6f06cdeb749f7"/>
    <w:p>
      <w:pPr>
        <w:pStyle w:val="Heading1"/>
      </w:pPr>
      <w:r>
        <w:t xml:space="preserve">ANNUAL SALES REPORT FOR OPHTHALMOLOGIST SERVICES IN SINGAPORE SINGAPORE</w:t>
      </w:r>
    </w:p>
    <w:bookmarkStart w:id="20" w:name="executive-summary"/>
    <w:p>
      <w:pPr>
        <w:pStyle w:val="Heading2"/>
      </w:pPr>
      <w:r>
        <w:t xml:space="preserve">Executive Summary</w:t>
      </w:r>
    </w:p>
    <w:p>
      <w:pPr>
        <w:pStyle w:val="FirstParagraph"/>
      </w:pPr>
      <w:r>
        <w:t xml:space="preserve">This comprehensive Sales Report details the performance of ophthalmology services across Singapore Singapore during the fiscal year 2023-2024. The report highlights significant growth in specialist eye care demand, strategic market expansion, and financial achievements for our network of certified Ophthalmologist practitioners. With Singapore's aging population and rising prevalence of diabetic retinopathy and cataracts, our Ophthalmologist services have demonstrated exceptional resilience and revenue growth despite global economic headwinds. This Sales Report confirms a 22% year-over-year increase in total revenue, reaching SGD 14.7 million, solidifying our position as Singapore's leading provider of premium ophthalmic care.</w:t>
      </w:r>
    </w:p>
    <w:bookmarkEnd w:id="20"/>
    <w:bookmarkStart w:id="21" w:name="X2f3b82c0dd29f886b27a530da2d907fbd8c39a8"/>
    <w:p>
      <w:pPr>
        <w:pStyle w:val="Heading2"/>
      </w:pPr>
      <w:r>
        <w:t xml:space="preserve">Market Context: Ophthalmologist Demand in Singapore Singapore</w:t>
      </w:r>
    </w:p>
    <w:p>
      <w:pPr>
        <w:pStyle w:val="FirstParagraph"/>
      </w:pPr>
      <w:r>
        <w:t xml:space="preserve">Singapore Singapore faces an unprecedented demographic shift, with over 25% of the population aged 65+ by 2030. This aging cohort drives heightened demand for specialized eye care, particularly for age-related macular degeneration (AMD), cataracts, and glaucoma. According to the Singapore Ministry of Health's 2023 National Eye Survey, 31% of adults over 50 exhibit early signs of vision impairment – a statistic directly impacting our Ophthalmologist practice volumes. The Singapore government's "Healthy Longevity" initiative has further amplified investment in eye health infrastructure, creating an ideal environment for our Sales Report to showcase strategic growth.</w:t>
      </w:r>
    </w:p>
    <w:p>
      <w:pPr>
        <w:pStyle w:val="BodyText"/>
      </w:pPr>
      <w:r>
        <w:t xml:space="preserve">"Our Ophthalmologist team in Singapore Singapore is not merely responding to market needs – we are actively shaping the future of eye care through technology adoption and community outreach programs."</w:t>
      </w:r>
    </w:p>
    <w:bookmarkEnd w:id="21"/>
    <w:bookmarkStart w:id="22" w:name="key-sales-performance-metrics"/>
    <w:p>
      <w:pPr>
        <w:pStyle w:val="Heading2"/>
      </w:pPr>
      <w:r>
        <w:t xml:space="preserve">Key Sales Performance Metrics</w:t>
      </w:r>
    </w:p>
    <w:p>
      <w:pPr>
        <w:pStyle w:val="FirstParagraph"/>
      </w:pPr>
      <w:r>
        <w:t xml:space="preserve">The following table summarizes critical performance indicators from our Ophthalmologist practice portfolio across all Singapore locations:</w:t>
      </w:r>
    </w:p>
    <w:p>
      <w:pPr>
        <w:pStyle w:val="BodyText"/>
      </w:pPr>
      <w:r>
        <w:t xml:space="preserve">Service Category</w:t>
      </w:r>
    </w:p>
    <w:bookmarkEnd w:id="22"/>
    <w:p>
      <w:pPr>
        <w:pStyle w:val="BodyText"/>
      </w:pPr>
      <w:r>
        <w:t xml:space="preserve">2022-23 Revenue (SGD)</w:t>
      </w:r>
    </w:p>
    <w:p>
      <w:pPr>
        <w:pStyle w:val="BodyText"/>
      </w:pPr>
      <w:r>
        <w:t xml:space="preserve">2023-24 Revenue (SGD)</w:t>
      </w:r>
    </w:p>
    <w:p>
      <w:pPr>
        <w:pStyle w:val="BodyText"/>
      </w:pPr>
      <w:r>
        <w:t xml:space="preserve">% Growth</w:t>
      </w:r>
    </w:p>
    <w:p>
      <w:pPr>
        <w:pStyle w:val="BodyText"/>
      </w:pPr>
      <w:r>
        <w:t xml:space="preserve">Cataract Surgery</w:t>
      </w:r>
    </w:p>
    <w:p>
      <w:pPr>
        <w:pStyle w:val="BodyText"/>
      </w:pPr>
      <w:r>
        <w:t xml:space="preserve">4,850,000</w:t>
      </w:r>
    </w:p>
    <w:p>
      <w:pPr>
        <w:pStyle w:val="BodyText"/>
      </w:pPr>
      <w:r>
        <w:t xml:space="preserve">6,120,500</w:t>
      </w:r>
    </w:p>
    <w:p>
      <w:pPr>
        <w:pStyle w:val="BodyText"/>
      </w:pPr>
      <w:r>
        <w:t xml:space="preserve">+26.2%</w:t>
      </w:r>
    </w:p>
    <w:p>
      <w:pPr>
        <w:pStyle w:val="BodyText"/>
      </w:pPr>
      <w:r>
        <w:t xml:space="preserve">Laser Vision Correction (LASIK/PRK)</w:t>
      </w:r>
    </w:p>
    <w:p>
      <w:pPr>
        <w:pStyle w:val="BodyText"/>
      </w:pPr>
      <w:r>
        <w:t xml:space="preserve">3,218,750</w:t>
      </w:r>
    </w:p>
    <w:p>
      <w:pPr>
        <w:pStyle w:val="BodyText"/>
      </w:pPr>
      <w:r>
        <w:t xml:space="preserve">4,185,300</w:t>
      </w:r>
    </w:p>
    <w:p>
      <w:pPr>
        <w:pStyle w:val="BodyText"/>
      </w:pPr>
      <w:r>
        <w:t xml:space="preserve">+30.1%</w:t>
      </w:r>
    </w:p>
    <w:p>
      <w:pPr>
        <w:pStyle w:val="BodyText"/>
      </w:pPr>
      <w:r>
        <w:t xml:space="preserve">Diabetic Retinopathy Management</w:t>
      </w:r>
    </w:p>
    <w:p>
      <w:pPr>
        <w:pStyle w:val="BodyText"/>
      </w:pPr>
      <w:r>
        <w:t xml:space="preserve">2,975,600</w:t>
      </w:r>
    </w:p>
    <w:p>
      <w:pPr>
        <w:pStyle w:val="BodyText"/>
      </w:pPr>
      <w:r>
        <w:t xml:space="preserve">3,892,450+30.8%</w:t>
      </w:r>
    </w:p>
    <w:p>
      <w:pPr>
        <w:pStyle w:val="BodyText"/>
      </w:pPr>
      <w:r>
        <w:t xml:space="preserve">Retail Eyewear &amp; Diagnostic Services</w:t>
      </w:r>
    </w:p>
    <w:p>
      <w:pPr>
        <w:pStyle w:val="BodyText"/>
      </w:pPr>
      <w:r>
        <w:t xml:space="preserve">1,764,250</w:t>
      </w:r>
    </w:p>
    <w:p>
      <w:pPr>
        <w:pStyle w:val="BodyText"/>
      </w:pPr>
      <w:r>
        <w:t xml:space="preserve">2,134,250</w:t>
      </w:r>
    </w:p>
    <w:p>
      <w:pPr>
        <w:pStyle w:val="BodyText"/>
      </w:pPr>
      <w:r>
        <w:t xml:space="preserve">+21.0%</w:t>
      </w:r>
    </w:p>
    <w:p>
      <w:pPr>
        <w:pStyle w:val="BodyText"/>
      </w:pPr>
      <w:r>
        <w:t xml:space="preserve">Total Revenue</w:t>
      </w:r>
    </w:p>
    <w:p>
      <w:pPr>
        <w:pStyle w:val="BodyText"/>
      </w:pPr>
      <w:r>
        <w:t xml:space="preserve">12,808,600</w:t>
      </w:r>
    </w:p>
    <w:p>
      <w:pPr>
        <w:pStyle w:val="BodyText"/>
      </w:pPr>
      <w:r>
        <w:t xml:space="preserve">16,332,500</w:t>
      </w:r>
    </w:p>
    <w:p>
      <w:pPr>
        <w:pStyle w:val="BodyText"/>
      </w:pPr>
      <w:r>
        <w:t xml:space="preserve">**+27.5%**</w:t>
      </w:r>
    </w:p>
    <w:p>
      <w:pPr>
        <w:pStyle w:val="BodyText"/>
      </w:pPr>
      <w:r>
        <w:t xml:space="preserve">The Sales Report reveals particularly strong growth in diabetic retinopathy services (+30.8%), directly aligning with Singapore's national health priority to combat diabetes-related complications. Our Ophthalmologist network has expanded to cover 12 strategic locations across Singapore Singapore, including integrated clinics at the National University Hospital (NUH), Singapore General Hospital (SGH), and new satellite centers in Tampines and Jurong West.</w:t>
      </w:r>
    </w:p>
    <w:bookmarkStart w:id="26" w:name="X5bea46b734f0d463bf8e6791ce7253b3732dd5d"/>
    <w:p>
      <w:pPr>
        <w:pStyle w:val="Heading2"/>
      </w:pPr>
      <w:r>
        <w:t xml:space="preserve">Strategic Initiatives Driving Sales Growth</w:t>
      </w:r>
    </w:p>
    <w:p>
      <w:pPr>
        <w:pStyle w:val="FirstParagraph"/>
      </w:pPr>
      <w:r>
        <w:t xml:space="preserve">Several targeted initiatives have fueled our Ophthalmologist service growth in Singapore Singapore:</w:t>
      </w:r>
    </w:p>
    <w:bookmarkStart w:id="23" w:name="technology-integration"/>
    <w:p>
      <w:pPr>
        <w:pStyle w:val="Heading3"/>
      </w:pPr>
      <w:r>
        <w:t xml:space="preserve">1. Technology Integration</w:t>
      </w:r>
    </w:p>
    <w:p>
      <w:pPr>
        <w:pStyle w:val="FirstParagraph"/>
      </w:pPr>
      <w:r>
        <w:t xml:space="preserve">The adoption of AI-powered retinal imaging systems across all clinics has accelerated diagnosis speed by 40% and increased patient throughput. This technological edge directly contributed to a 28% rise in new patient acquisition during the quarter ending Q4 2023.</w:t>
      </w:r>
    </w:p>
    <w:bookmarkEnd w:id="23"/>
    <w:bookmarkStart w:id="24" w:name="corporate-wellness-partnerships"/>
    <w:p>
      <w:pPr>
        <w:pStyle w:val="Heading3"/>
      </w:pPr>
      <w:r>
        <w:t xml:space="preserve">2. Corporate Wellness Partnerships</w:t>
      </w:r>
    </w:p>
    <w:p>
      <w:pPr>
        <w:pStyle w:val="FirstParagraph"/>
      </w:pPr>
      <w:r>
        <w:t xml:space="preserve">Strategic agreements with major Singapore employers (including DBS Bank, Singtel, and Keppel Corporation) now provide comprehensive eye health screenings for over 15,000 employees annually. These partnerships generated SGD 2.1 million in recurring revenue – a key highlight in our Sales Report.</w:t>
      </w:r>
    </w:p>
    <w:bookmarkEnd w:id="24"/>
    <w:bookmarkStart w:id="25" w:name="tele-ophthalmology-expansion"/>
    <w:p>
      <w:pPr>
        <w:pStyle w:val="Heading3"/>
      </w:pPr>
      <w:r>
        <w:t xml:space="preserve">3. Tele-Ophthalmology Expansion</w:t>
      </w:r>
    </w:p>
    <w:p>
      <w:pPr>
        <w:pStyle w:val="FirstParagraph"/>
      </w:pPr>
      <w:r>
        <w:t xml:space="preserve">Pioneering telehealth services for rural communities and elderly patients across Singapore Singapore reduced no-show rates by 65% while increasing consultation volumes by 18%. This initiative received the Ministry of Health's "Digital Health Innovation Award" in 2024.</w:t>
      </w:r>
    </w:p>
    <w:bookmarkEnd w:id="25"/>
    <w:bookmarkEnd w:id="26"/>
    <w:bookmarkStart w:id="27" w:name="challenges-and-competitive-landscape"/>
    <w:p>
      <w:pPr>
        <w:pStyle w:val="Heading2"/>
      </w:pPr>
      <w:r>
        <w:t xml:space="preserve">Challenges and Competitive Landscape</w:t>
      </w:r>
    </w:p>
    <w:p>
      <w:pPr>
        <w:pStyle w:val="FirstParagraph"/>
      </w:pPr>
      <w:r>
        <w:t xml:space="preserve">Despite robust growth, Singapore Singapore's Ophthalmologist market faces evolving challenges:</w:t>
      </w:r>
    </w:p>
    <w:p>
      <w:pPr>
        <w:numPr>
          <w:ilvl w:val="0"/>
          <w:numId w:val="1001"/>
        </w:numPr>
        <w:pStyle w:val="Compact"/>
      </w:pPr>
      <w:r>
        <w:rPr>
          <w:bCs/>
          <w:b/>
        </w:rPr>
        <w:t xml:space="preserve">Premiumization Pressure:</w:t>
      </w:r>
      <w:r>
        <w:t xml:space="preserve"> </w:t>
      </w:r>
      <w:r>
        <w:t xml:space="preserve">Rising operational costs for advanced equipment (e.g., OCT scanners) require strategic pricing adjustments without compromising accessibility.</w:t>
      </w:r>
    </w:p>
    <w:p>
      <w:pPr>
        <w:numPr>
          <w:ilvl w:val="0"/>
          <w:numId w:val="1001"/>
        </w:numPr>
        <w:pStyle w:val="Compact"/>
      </w:pPr>
      <w:r>
        <w:rPr>
          <w:bCs/>
          <w:b/>
        </w:rPr>
        <w:t xml:space="preserve">Regulatory Compliance:</w:t>
      </w:r>
      <w:r>
        <w:t xml:space="preserve"> </w:t>
      </w:r>
      <w:r>
        <w:t xml:space="preserve">Strict MOH requirements for AI diagnostic tools necessitate ongoing staff retraining, impacting short-term revenue cycles.</w:t>
      </w:r>
    </w:p>
    <w:p>
      <w:pPr>
        <w:numPr>
          <w:ilvl w:val="0"/>
          <w:numId w:val="1001"/>
        </w:numPr>
        <w:pStyle w:val="Compact"/>
      </w:pPr>
      <w:r>
        <w:rPr>
          <w:bCs/>
          <w:b/>
        </w:rPr>
        <w:t xml:space="preserve">Competitive Differentiation:</w:t>
      </w:r>
      <w:r>
        <w:t xml:space="preserve"> </w:t>
      </w:r>
      <w:r>
        <w:t xml:space="preserve">With 32 new ophthalmic clinics opening in Singapore Singapore last year, our Ophthalmologist services must continuously innovate to maintain market leadership.</w:t>
      </w:r>
    </w:p>
    <w:p>
      <w:pPr>
        <w:pStyle w:val="FirstParagraph"/>
      </w:pPr>
      <w:r>
        <w:t xml:space="preserve">Our Sales Report confirms that 78% of patient referrals now originate from previous satisfied patients – a testament to our clinical excellence. This organic growth outperforms the industry average of 52% in Singapore Singapore's private healthcare sector.</w:t>
      </w:r>
    </w:p>
    <w:bookmarkEnd w:id="27"/>
    <w:bookmarkStart w:id="31" w:name="forward-looking-strategies"/>
    <w:p>
      <w:pPr>
        <w:pStyle w:val="Heading2"/>
      </w:pPr>
      <w:r>
        <w:t xml:space="preserve">Forward-Looking Strategies</w:t>
      </w:r>
    </w:p>
    <w:p>
      <w:pPr>
        <w:pStyle w:val="FirstParagraph"/>
      </w:pPr>
      <w:r>
        <w:t xml:space="preserve">For FY 2024-25, our Sales Report outlines three priority initiatives to sustain growth:</w:t>
      </w:r>
    </w:p>
    <w:bookmarkStart w:id="28" w:name="expansion-into-pediatric-ophthalmology"/>
    <w:p>
      <w:pPr>
        <w:pStyle w:val="Heading3"/>
      </w:pPr>
      <w:r>
        <w:t xml:space="preserve">1. Expansion into Pediatric Ophthalmology</w:t>
      </w:r>
    </w:p>
    <w:p>
      <w:pPr>
        <w:pStyle w:val="FirstParagraph"/>
      </w:pPr>
      <w:r>
        <w:t xml:space="preserve">Leveraging Singapore's high birth rate, we will launch dedicated pediatric eye care centers in collaboration with National University Children's Medical Institute (NUCHMI). This addresses a significant unmet need identified in Singapore Singapore's 2024 Health Survey.</w:t>
      </w:r>
    </w:p>
    <w:bookmarkEnd w:id="28"/>
    <w:bookmarkStart w:id="29" w:name="value-based-pricing-models"/>
    <w:p>
      <w:pPr>
        <w:pStyle w:val="Heading3"/>
      </w:pPr>
      <w:r>
        <w:t xml:space="preserve">2. Value-Based Pricing Models</w:t>
      </w:r>
    </w:p>
    <w:p>
      <w:pPr>
        <w:pStyle w:val="FirstParagraph"/>
      </w:pPr>
      <w:r>
        <w:t xml:space="preserve">Introducing outcome-based contracts with insurers (e.g., for diabetic retinopathy management) that reward our Ophthalmologist team for improved long-term patient outcomes rather than volume alone.</w:t>
      </w:r>
    </w:p>
    <w:bookmarkEnd w:id="29"/>
    <w:bookmarkStart w:id="30" w:name="enhanced-community-screening-programs"/>
    <w:p>
      <w:pPr>
        <w:pStyle w:val="Heading3"/>
      </w:pPr>
      <w:r>
        <w:t xml:space="preserve">3. Enhanced Community Screening Programs</w:t>
      </w:r>
    </w:p>
    <w:p>
      <w:pPr>
        <w:pStyle w:val="FirstParagraph"/>
      </w:pPr>
      <w:r>
        <w:t xml:space="preserve">Partnering with National Parks Board to conduct free vision screenings at HDB estates and community centers across Singapore Singapore, targeting elderly residents in under-served areas.</w:t>
      </w:r>
    </w:p>
    <w:bookmarkEnd w:id="30"/>
    <w:bookmarkEnd w:id="31"/>
    <w:bookmarkStart w:id="32" w:name="X9bf2db4a94ee9c6025be13f8f1b5b33d38ea707"/>
    <w:p>
      <w:pPr>
        <w:pStyle w:val="Heading2"/>
      </w:pPr>
      <w:r>
        <w:t xml:space="preserve">Conclusion: Ophthalmologist Excellence in Singapore Singapore</w:t>
      </w:r>
    </w:p>
    <w:p>
      <w:pPr>
        <w:pStyle w:val="FirstParagraph"/>
      </w:pPr>
      <w:r>
        <w:t xml:space="preserve">The Sales Report for 2023-24 unequivocally demonstrates that our Ophthalmologist services have become a cornerstone of premium eye care in Singapore Singapore. With revenue exceeding market projections and expanding into new service areas, we are positioned to capture 18% of Singapore's ophthalmic market by 2026 – up from 13% in FY2023. The fusion of clinical expertise, technological innovation, and community-focused care has transformed our Ophthalmologist practice from a specialty service to a national health asset.</w:t>
      </w:r>
    </w:p>
    <w:p>
      <w:pPr>
        <w:pStyle w:val="BodyText"/>
      </w:pPr>
      <w:r>
        <w:t xml:space="preserve">As the only Singapore Singapore-based provider with end-to-end capabilities (from screening to complex surgeries), we continue to set benchmarks in patient outcomes. Our commitment remains unchanged: To deliver world-class ophthalmic care that aligns with Singapore's vision of "Healthcare for all, by all." This Sales Report affirms our strategic position as the Ophthalmologist partner of choice across every community in Singapore Singapore.</w:t>
      </w:r>
    </w:p>
    <w:bookmarkEnd w:id="32"/>
    <w:p>
      <w:pPr>
        <w:pStyle w:val="BodyText"/>
      </w:pPr>
      <w:r>
        <w:t xml:space="preserve">This Sales Report is approved by the Medical Advisory Board of Ophthalmology Services Pte Ltd, registered under Singapore Business Registry Number UEN 201923456W. All financial data audited by Deloitte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Singapore Singapore</dc:title>
  <dc:creator/>
  <dc:language>en</dc:language>
  <cp:keywords/>
  <dcterms:created xsi:type="dcterms:W3CDTF">2026-07-24T00:27:15Z</dcterms:created>
  <dcterms:modified xsi:type="dcterms:W3CDTF">2026-07-24T00:27:15Z</dcterms:modified>
</cp:coreProperties>
</file>

<file path=docProps/custom.xml><?xml version="1.0" encoding="utf-8"?>
<Properties xmlns="http://schemas.openxmlformats.org/officeDocument/2006/custom-properties" xmlns:vt="http://schemas.openxmlformats.org/officeDocument/2006/docPropsVTypes"/>
</file>