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760575589561f65cba5bf0942211b3c8c39ebe6"/>
    <w:p>
      <w:pPr>
        <w:pStyle w:val="Heading1"/>
      </w:pPr>
      <w:r>
        <w:t xml:space="preserve">Comprehensive Ophthalmology Sales Performance Report: Cape Town, South Africa</w:t>
      </w:r>
    </w:p>
    <w:p>
      <w:pPr>
        <w:pStyle w:val="FirstParagraph"/>
      </w:pPr>
      <w:r>
        <w:rPr>
          <w:bCs/>
          <w:b/>
        </w:rPr>
        <w:t xml:space="preserve">Prepared For:</w:t>
      </w:r>
      <w:r>
        <w:t xml:space="preserve"> </w:t>
      </w:r>
      <w:r>
        <w:t xml:space="preserve">Management Team, Cape Town Eye Care Network</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ophthalmology services across our Cape Town network within South Africa. The quarter demonstrated remarkable growth in patient volume and revenue, driven by targeted community outreach and specialized care initiatives. Our primary focus remains on delivering exceptional eye care while strengthening market position as a leading provider in South Africa Cape Town. This report analyzes service adoption, patient demographics, competitive positioning, and strategic recommendations for continued expansion.</w:t>
      </w:r>
    </w:p>
    <w:bookmarkEnd w:id="20"/>
    <w:bookmarkStart w:id="21" w:name="key-performance-metrics-q3-2023"/>
    <w:p>
      <w:pPr>
        <w:pStyle w:val="Heading2"/>
      </w:pPr>
      <w:r>
        <w:t xml:space="preserve">Key Performance Metrics (Q3 2023)</w:t>
      </w:r>
    </w:p>
    <w:p>
      <w:pPr>
        <w:pStyle w:val="FirstParagraph"/>
      </w:pPr>
      <w:r>
        <w:t xml:space="preserve">Service Category</w:t>
      </w:r>
    </w:p>
    <w:p>
      <w:pPr>
        <w:pStyle w:val="BodyText"/>
      </w:pPr>
      <w:r>
        <w:t xml:space="preserve">Units Sold</w:t>
      </w:r>
    </w:p>
    <w:p>
      <w:pPr>
        <w:pStyle w:val="BodyText"/>
      </w:pPr>
      <w:r>
        <w:t xml:space="preserve">% Growth (vs Q2)</w:t>
      </w:r>
    </w:p>
    <w:p>
      <w:pPr>
        <w:pStyle w:val="BodyText"/>
      </w:pPr>
      <w:r>
        <w:t xml:space="preserve">Avg. Revenue per Unit (ZAR)</w:t>
      </w:r>
    </w:p>
    <w:p>
      <w:pPr>
        <w:pStyle w:val="BodyText"/>
      </w:pPr>
      <w:r>
        <w:t xml:space="preserve">Cataract Surgery</w:t>
      </w:r>
    </w:p>
    <w:p>
      <w:pPr>
        <w:pStyle w:val="BodyText"/>
      </w:pPr>
      <w:r>
        <w:t xml:space="preserve">412</w:t>
      </w:r>
    </w:p>
    <w:p>
      <w:pPr>
        <w:pStyle w:val="BodyText"/>
      </w:pPr>
      <w:r>
        <w:t xml:space="preserve">18.7%</w:t>
      </w:r>
    </w:p>
    <w:p>
      <w:pPr>
        <w:pStyle w:val="BodyText"/>
      </w:pPr>
      <w:r>
        <w:t xml:space="preserve">38,500</w:t>
      </w:r>
    </w:p>
    <w:p>
      <w:pPr>
        <w:pStyle w:val="BodyText"/>
      </w:pPr>
      <w:r>
        <w:t xml:space="preserve">Diabetic Retinopathy Screening</w:t>
      </w:r>
    </w:p>
    <w:p>
      <w:pPr>
        <w:pStyle w:val="BodyText"/>
      </w:pPr>
      <w:r>
        <w:t xml:space="preserve">1,256</w:t>
      </w:r>
    </w:p>
    <w:p>
      <w:pPr>
        <w:pStyle w:val="BodyText"/>
      </w:pPr>
      <w:r>
        <w:t xml:space="preserve">32.4%</w:t>
      </w:r>
    </w:p>
    <w:p>
      <w:pPr>
        <w:pStyle w:val="BodyText"/>
      </w:pPr>
      <w:r>
        <w:t xml:space="preserve">1,850</w:t>
      </w:r>
    </w:p>
    <w:p>
      <w:pPr>
        <w:pStyle w:val="BodyText"/>
      </w:pPr>
      <w:r>
        <w:t xml:space="preserve">Laser Vision Correction (LASIK)</w:t>
      </w:r>
    </w:p>
    <w:p>
      <w:pPr>
        <w:pStyle w:val="BodyText"/>
      </w:pPr>
      <w:r>
        <w:t xml:space="preserve">98</w:t>
      </w:r>
    </w:p>
    <w:p>
      <w:pPr>
        <w:pStyle w:val="BodyText"/>
      </w:pPr>
      <w:r>
        <w:t xml:space="preserve">7.2%</w:t>
      </w:r>
    </w:p>
    <w:p>
      <w:pPr>
        <w:pStyle w:val="BodyText"/>
      </w:pPr>
      <w:r>
        <w:t xml:space="preserve">Total Revenue: R16,247,000</w:t>
      </w:r>
    </w:p>
    <w:bookmarkEnd w:id="21"/>
    <w:bookmarkStart w:id="22" w:name="Xea0bd8597a2554a16ee118be4b60fb5432fc279"/>
    <w:p>
      <w:pPr>
        <w:pStyle w:val="Heading2"/>
      </w:pPr>
      <w:r>
        <w:t xml:space="preserve">Market Analysis: Ophthalmology in South Africa Cape Town</w:t>
      </w:r>
    </w:p>
    <w:p>
      <w:pPr>
        <w:pStyle w:val="FirstParagraph"/>
      </w:pPr>
      <w:r>
        <w:t xml:space="preserve">Cape Town represents a critical growth hub for ophthalmology services within South Africa. With 78% of the Western Cape population aged 45+ (the primary demographic for cataract and macular degeneration treatment), our practice has strategically positioned itself to meet this demand. The Sales Report identifies three key market drivers:</w:t>
      </w:r>
    </w:p>
    <w:p>
      <w:pPr>
        <w:numPr>
          <w:ilvl w:val="0"/>
          <w:numId w:val="1001"/>
        </w:numPr>
        <w:pStyle w:val="Compact"/>
      </w:pPr>
      <w:r>
        <w:rPr>
          <w:bCs/>
          <w:b/>
        </w:rPr>
        <w:t xml:space="preserve">Public-Private Partnership Growth:</w:t>
      </w:r>
      <w:r>
        <w:t xml:space="preserve"> </w:t>
      </w:r>
      <w:r>
        <w:t xml:space="preserve">Collaborations with Cape Town City Health Department have increased diabetic eye screening by 41% in underserved communities (e.g., Khayelitsha, Nyanga).</w:t>
      </w:r>
    </w:p>
    <w:p>
      <w:pPr>
        <w:numPr>
          <w:ilvl w:val="0"/>
          <w:numId w:val="1001"/>
        </w:numPr>
        <w:pStyle w:val="Compact"/>
      </w:pPr>
      <w:r>
        <w:rPr>
          <w:bCs/>
          <w:b/>
        </w:rPr>
        <w:t xml:space="preserve">Demand for Advanced Technology:</w:t>
      </w:r>
      <w:r>
        <w:t xml:space="preserve"> </w:t>
      </w:r>
      <w:r>
        <w:t xml:space="preserve">The introduction of OCT scanning and femtosecond lasers at our Claremont clinic drove a 23% increase in premium service adoption.</w:t>
      </w:r>
    </w:p>
    <w:p>
      <w:pPr>
        <w:numPr>
          <w:ilvl w:val="0"/>
          <w:numId w:val="1001"/>
        </w:numPr>
        <w:pStyle w:val="Compact"/>
      </w:pPr>
      <w:r>
        <w:rPr>
          <w:bCs/>
          <w:b/>
        </w:rPr>
        <w:t xml:space="preserve">Insurance Coverage Expansion:</w:t>
      </w:r>
      <w:r>
        <w:t xml:space="preserve"> </w:t>
      </w:r>
      <w:r>
        <w:t xml:space="preserve">Partnerships with Discovery Health and Bonitas have increased covered procedures by 15%, making high-quality ophthalmology accessible to 68% of Cape Town residents.</w:t>
      </w:r>
    </w:p>
    <w:bookmarkEnd w:id="22"/>
    <w:bookmarkStart w:id="23" w:name="patient-demographic-breakdown"/>
    <w:p>
      <w:pPr>
        <w:pStyle w:val="Heading2"/>
      </w:pPr>
      <w:r>
        <w:t xml:space="preserve">Patient Demographic Breakdown</w:t>
      </w:r>
    </w:p>
    <w:p>
      <w:pPr>
        <w:pStyle w:val="FirstParagraph"/>
      </w:pPr>
      <w:r>
        <w:t xml:space="preserve">The Sales Report reveals significant shifts in patient composition:</w:t>
      </w:r>
    </w:p>
    <w:p>
      <w:pPr>
        <w:pStyle w:val="BodyText"/>
      </w:pPr>
      <w:r>
        <w:t xml:space="preserve">Demographic Segment</w:t>
      </w:r>
    </w:p>
    <w:p>
      <w:pPr>
        <w:pStyle w:val="BodyText"/>
      </w:pPr>
      <w:r>
        <w:t xml:space="preserve">% of Total Patients</w:t>
      </w:r>
    </w:p>
    <w:p>
      <w:pPr>
        <w:pStyle w:val="BodyText"/>
      </w:pPr>
      <w:r>
        <w:t xml:space="preserve">Key Service Demand</w:t>
      </w:r>
    </w:p>
    <w:p>
      <w:pPr>
        <w:pStyle w:val="BodyText"/>
      </w:pPr>
      <w:r>
        <w:t xml:space="preserve">Urban Middle-Class (Cape Town CBD)</w:t>
      </w:r>
    </w:p>
    <w:p>
      <w:pPr>
        <w:pStyle w:val="BodyText"/>
      </w:pPr>
      <w:r>
        <w:t xml:space="preserve">42%</w:t>
      </w:r>
    </w:p>
    <w:p>
      <w:pPr>
        <w:pStyle w:val="BodyText"/>
      </w:pPr>
      <w:r>
        <w:t xml:space="preserve">LASIK, Glaucoma Management</w:t>
      </w:r>
    </w:p>
    <w:p>
      <w:pPr>
        <w:pStyle w:val="BodyText"/>
      </w:pPr>
      <w:r>
        <w:t xml:space="preserve">Rural Communities (Western Cape)</w:t>
      </w:r>
    </w:p>
    <w:p>
      <w:pPr>
        <w:pStyle w:val="BodyText"/>
      </w:pPr>
      <w:r>
        <w:t xml:space="preserve">31%</w:t>
      </w:r>
    </w:p>
    <w:p>
      <w:pPr>
        <w:pStyle w:val="BodyText"/>
      </w:pPr>
      <w:r>
        <w:t xml:space="preserve">Cataract Surgery, Diabetic Screening</w:t>
      </w:r>
    </w:p>
    <w:p>
      <w:pPr>
        <w:pStyle w:val="BodyText"/>
      </w:pPr>
      <w:r>
        <w:t xml:space="preserve">Public Health System Patients (via partnerships)</w:t>
      </w:r>
    </w:p>
    <w:p>
      <w:pPr>
        <w:pStyle w:val="BodyText"/>
      </w:pPr>
      <w:r>
        <w:t xml:space="preserve">Khayelitsha/Nyanga</w:t>
      </w:r>
    </w:p>
    <w:p>
      <w:pPr>
        <w:pStyle w:val="BodyText"/>
      </w:pPr>
      <w:r>
        <w:t xml:space="preserve">16%</w:t>
      </w:r>
    </w:p>
    <w:p>
      <w:pPr>
        <w:pStyle w:val="BodyText"/>
      </w:pPr>
      <w:r>
        <w:t xml:space="preserve">Cataract Surgeries (Subsidized)</w:t>
      </w:r>
    </w:p>
    <w:p>
      <w:pPr>
        <w:pStyle w:val="BodyText"/>
      </w:pPr>
      <w:r>
        <w:t xml:space="preserve">Total</w:t>
      </w:r>
    </w:p>
    <w:p>
      <w:pPr>
        <w:pStyle w:val="BodyText"/>
      </w:pPr>
      <w:r>
        <w:t xml:space="preserve">100%</w:t>
      </w:r>
    </w:p>
    <w:bookmarkEnd w:id="23"/>
    <w:bookmarkStart w:id="24" w:name="competitive-positioning-analysis"/>
    <w:p>
      <w:pPr>
        <w:pStyle w:val="Heading2"/>
      </w:pPr>
      <w:r>
        <w:t xml:space="preserve">Competitive Positioning Analysis</w:t>
      </w:r>
    </w:p>
    <w:p>
      <w:pPr>
        <w:pStyle w:val="FirstParagraph"/>
      </w:pPr>
      <w:r>
        <w:t xml:space="preserve">In South Africa Cape Town, we maintain a 37% market share in surgical ophthalmology – outperforming competitors by 9 percentage points. This advantage stems from our Ophthalmologist-led model:</w:t>
      </w:r>
    </w:p>
    <w:p>
      <w:pPr>
        <w:numPr>
          <w:ilvl w:val="0"/>
          <w:numId w:val="1002"/>
        </w:numPr>
        <w:pStyle w:val="Compact"/>
      </w:pPr>
      <w:r>
        <w:t xml:space="preserve">Our team of 8 certified ophthalmologists (including three specializing in pediatric and retinal care) provides comprehensive services unavailable at most clinics.</w:t>
      </w:r>
    </w:p>
    <w:p>
      <w:pPr>
        <w:numPr>
          <w:ilvl w:val="0"/>
          <w:numId w:val="1002"/>
        </w:numPr>
        <w:pStyle w:val="Compact"/>
      </w:pPr>
      <w:r>
        <w:t xml:space="preserve">Unique "Eye Health for All" initiative: Free screenings at Cape Town township clinics, converting 29% of participants to paid services.</w:t>
      </w:r>
    </w:p>
    <w:p>
      <w:pPr>
        <w:numPr>
          <w:ilvl w:val="0"/>
          <w:numId w:val="1002"/>
        </w:numPr>
        <w:pStyle w:val="Compact"/>
      </w:pPr>
      <w:r>
        <w:t xml:space="preserve">Technology investment: Our Claremont facility is the only Cape Town practice with AI-assisted retinal analysis (integrated with NetApp platform), reducing diagnosis time by 40%.</w:t>
      </w:r>
    </w:p>
    <w:bookmarkEnd w:id="24"/>
    <w:bookmarkStart w:id="25" w:name="X61f11d14206e9ea0a75613fe22feba2960a4253"/>
    <w:p>
      <w:pPr>
        <w:pStyle w:val="Heading2"/>
      </w:pPr>
      <w:r>
        <w:t xml:space="preserve">Challenges Facing Ophthalmologists in South Africa Cape Town</w:t>
      </w:r>
    </w:p>
    <w:p>
      <w:pPr>
        <w:pStyle w:val="FirstParagraph"/>
      </w:pPr>
      <w:r>
        <w:t xml:space="preserve">The Sales Report identifies critical challenges requiring immediate attention:</w:t>
      </w:r>
    </w:p>
    <w:p>
      <w:pPr>
        <w:numPr>
          <w:ilvl w:val="0"/>
          <w:numId w:val="1003"/>
        </w:numPr>
        <w:pStyle w:val="Compact"/>
      </w:pPr>
      <w:r>
        <w:rPr>
          <w:bCs/>
          <w:b/>
        </w:rPr>
        <w:t xml:space="preserve">Workforce Shortages:</w:t>
      </w:r>
      <w:r>
        <w:t xml:space="preserve"> </w:t>
      </w:r>
      <w:r>
        <w:t xml:space="preserve">Only 35 ophthalmologists serve the entire Western Cape (per SA Medical Council), creating referral backlogs. Our practice manages 12% of Cape Town's surgical demand.</w:t>
      </w:r>
    </w:p>
    <w:p>
      <w:pPr>
        <w:numPr>
          <w:ilvl w:val="0"/>
          <w:numId w:val="1003"/>
        </w:numPr>
        <w:pStyle w:val="Compact"/>
      </w:pPr>
      <w:r>
        <w:rPr>
          <w:bCs/>
          <w:b/>
        </w:rPr>
        <w:t xml:space="preserve">Equipment Cost Inflation:</w:t>
      </w:r>
      <w:r>
        <w:t xml:space="preserve"> </w:t>
      </w:r>
      <w:r>
        <w:t xml:space="preserve">Laser technology costs rose 18% in Q3 due to global supply chain issues, squeezing margins on premium services.</w:t>
      </w:r>
    </w:p>
    <w:p>
      <w:pPr>
        <w:numPr>
          <w:ilvl w:val="0"/>
          <w:numId w:val="1003"/>
        </w:numPr>
        <w:pStyle w:val="Compact"/>
      </w:pPr>
      <w:r>
        <w:rPr>
          <w:bCs/>
          <w:b/>
        </w:rPr>
        <w:t xml:space="preserve">Digital Divide:</w:t>
      </w:r>
      <w:r>
        <w:t xml:space="preserve"> </w:t>
      </w:r>
      <w:r>
        <w:t xml:space="preserve">Rural patients face difficulty accessing tele-ophthalmology consultations due to unreliable internet (only 47% of Cape Town townships have adequate connectivity).</w:t>
      </w:r>
    </w:p>
    <w:bookmarkEnd w:id="25"/>
    <w:bookmarkStart w:id="26" w:name="strategic-recommendations"/>
    <w:p>
      <w:pPr>
        <w:pStyle w:val="Heading2"/>
      </w:pPr>
      <w:r>
        <w:t xml:space="preserve">Strategic Recommendations</w:t>
      </w:r>
    </w:p>
    <w:p>
      <w:pPr>
        <w:pStyle w:val="FirstParagraph"/>
      </w:pPr>
      <w:r>
        <w:t xml:space="preserve">To capitalize on our strong market position as a premier ophthalmology provider in South Africa Cape Town, we propose:</w:t>
      </w:r>
    </w:p>
    <w:p>
      <w:pPr>
        <w:numPr>
          <w:ilvl w:val="0"/>
          <w:numId w:val="1004"/>
        </w:numPr>
        <w:pStyle w:val="Compact"/>
      </w:pPr>
      <w:r>
        <w:rPr>
          <w:bCs/>
          <w:b/>
        </w:rPr>
        <w:t xml:space="preserve">Expand Mobile Screening Units:</w:t>
      </w:r>
      <w:r>
        <w:t xml:space="preserve"> </w:t>
      </w:r>
      <w:r>
        <w:t xml:space="preserve">Deploy two additional mobile clinics (targeting 15 townships) to increase diabetic screening by 50% within 12 months, directly addressing public health needs while generating new patient pipelines.</w:t>
      </w:r>
    </w:p>
    <w:p>
      <w:pPr>
        <w:numPr>
          <w:ilvl w:val="0"/>
          <w:numId w:val="1004"/>
        </w:numPr>
        <w:pStyle w:val="Compact"/>
      </w:pPr>
      <w:r>
        <w:rPr>
          <w:bCs/>
          <w:b/>
        </w:rPr>
        <w:t xml:space="preserve">Negotiate Bulk Equipment Contracts:</w:t>
      </w:r>
      <w:r>
        <w:t xml:space="preserve"> </w:t>
      </w:r>
      <w:r>
        <w:t xml:space="preserve">Form a consortium with four other Cape Town ophthalmology practices to secure laser technology discounts (projected: 22% cost reduction).</w:t>
      </w:r>
    </w:p>
    <w:p>
      <w:pPr>
        <w:numPr>
          <w:ilvl w:val="0"/>
          <w:numId w:val="1004"/>
        </w:numPr>
        <w:pStyle w:val="Compact"/>
      </w:pPr>
      <w:r>
        <w:rPr>
          <w:bCs/>
          <w:b/>
        </w:rPr>
        <w:t xml:space="preserve">Develop Tele-Ophthalmology Partnerships:</w:t>
      </w:r>
      <w:r>
        <w:t xml:space="preserve"> </w:t>
      </w:r>
      <w:r>
        <w:t xml:space="preserve">Collaborate with Vodacom to establish low-bandwidth eye care consultations in rural areas, targeting 10,000+ remote patients annually.</w:t>
      </w:r>
    </w:p>
    <w:p>
      <w:pPr>
        <w:numPr>
          <w:ilvl w:val="0"/>
          <w:numId w:val="1004"/>
        </w:numPr>
        <w:pStyle w:val="Compact"/>
      </w:pPr>
      <w:r>
        <w:rPr>
          <w:bCs/>
          <w:b/>
        </w:rPr>
        <w:t xml:space="preserve">Ophthalmologist Training Program:</w:t>
      </w:r>
      <w:r>
        <w:t xml:space="preserve"> </w:t>
      </w:r>
      <w:r>
        <w:t xml:space="preserve">Launch a 2-year fellowship in Cape Town for local medical graduates to address the critical workforce shortage.</w:t>
      </w:r>
    </w:p>
    <w:bookmarkEnd w:id="26"/>
    <w:bookmarkStart w:id="27" w:name="conclusion"/>
    <w:p>
      <w:pPr>
        <w:pStyle w:val="Heading2"/>
      </w:pPr>
      <w:r>
        <w:t xml:space="preserve">Conclusion</w:t>
      </w:r>
    </w:p>
    <w:p>
      <w:pPr>
        <w:pStyle w:val="FirstParagraph"/>
      </w:pPr>
      <w:r>
        <w:t xml:space="preserve">This Sales Report confirms Cape Town's ophthalmology market is poised for sustained growth, with our practice leading the transformation. The Q3 results demonstrate how a physician-centered approach – combined with strategic community engagement and technology adoption – delivers both clinical excellence and commercial success in South Africa. As we move into 2024, our focus remains on expanding access to quality eye care across all Cape Town demographics while maintaining our leadership as the region's most trusted Ophthalmologist network. The data clearly indicates that targeted investments in community health partnerships and technological innovation will solidify our position as the preeminent ophthalmology provider in South Africa Cape Town.</w:t>
      </w:r>
    </w:p>
    <w:p>
      <w:pPr>
        <w:pStyle w:val="BodyText"/>
      </w:pPr>
      <w:r>
        <w:rPr>
          <w:bCs/>
          <w:b/>
        </w:rPr>
        <w:t xml:space="preserve">Prepared By:</w:t>
      </w:r>
      <w:r>
        <w:t xml:space="preserve"> </w:t>
      </w:r>
      <w:r>
        <w:t xml:space="preserve">Sarah van der Merwe, Director of Business Development</w:t>
      </w:r>
      <w:r>
        <w:br/>
      </w:r>
      <w:r>
        <w:rPr>
          <w:bCs/>
          <w:b/>
        </w:rPr>
        <w:t xml:space="preserve">Cape Town Eye Care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Cape Town, South Africa</dc:title>
  <dc:creator/>
  <dc:language>en</dc:language>
  <cp:keywords/>
  <dcterms:created xsi:type="dcterms:W3CDTF">2025-12-10T11:42:05Z</dcterms:created>
  <dcterms:modified xsi:type="dcterms:W3CDTF">2025-12-10T11:42:05Z</dcterms:modified>
</cp:coreProperties>
</file>

<file path=docProps/custom.xml><?xml version="1.0" encoding="utf-8"?>
<Properties xmlns="http://schemas.openxmlformats.org/officeDocument/2006/custom-properties" xmlns:vt="http://schemas.openxmlformats.org/officeDocument/2006/docPropsVTypes"/>
</file>