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South</w:t>
      </w:r>
      <w:r>
        <w:t xml:space="preserve"> </w:t>
      </w:r>
      <w:r>
        <w:t xml:space="preserve">Korea</w:t>
      </w:r>
      <w:r>
        <w:t xml:space="preserve"> </w:t>
      </w:r>
      <w:r>
        <w:t xml:space="preserve">Seoul</w:t>
      </w:r>
    </w:p>
    <w:bookmarkStart w:id="29" w:name="ophthalmologist-sales-performance-report"/>
    <w:p>
      <w:pPr>
        <w:pStyle w:val="Heading1"/>
      </w:pPr>
      <w:r>
        <w:t xml:space="preserve">Ophthalmologist Sales Performance Report</w:t>
      </w:r>
    </w:p>
    <w:bookmarkStart w:id="28" w:name="X6fa3ec7821dea42e98974e4741c997c1e56ab10"/>
    <w:p>
      <w:pPr>
        <w:pStyle w:val="Heading2"/>
      </w:pPr>
      <w:r>
        <w:t xml:space="preserve">South Korea Seoul Market Analysis - Q1 2024</w:t>
      </w:r>
    </w:p>
    <w:p>
      <w:pPr>
        <w:pStyle w:val="FirstParagraph"/>
      </w:pPr>
      <w:r>
        <w:t xml:space="preserve">Prepared for Executive Leadership | Date: March 31, 2024</w:t>
      </w:r>
    </w:p>
    <w:bookmarkStart w:id="20" w:name="executive-summary"/>
    <w:p>
      <w:pPr>
        <w:pStyle w:val="Heading3"/>
      </w:pPr>
      <w:r>
        <w:t xml:space="preserve">Executive Summary</w:t>
      </w:r>
    </w:p>
    <w:p>
      <w:pPr>
        <w:pStyle w:val="FirstParagraph"/>
      </w:pPr>
      <w:r>
        <w:t xml:space="preserve">This comprehensive Sales Report details the performance of ophthalmology services across South Korea's Seoul metropolitan area. The report confirms that Seoul remains the undisputed epicenter for advanced eye care in the nation, with our leading Ophthalmologist practice achieving 12.7% year-over-year growth in revenue. Key drivers include rising demand for cataract surgery (32% increase), premium refractive procedures, and AI-enhanced diagnostic services. As South Korea's most populous city with over 10 million residents, Seoul represents a critical market where specialized ophthalmic expertise directly correlates with our sales momentum. This report validates that strategic investment in cutting-edge technology and personalized patient care is yielding exceptional returns in the competitive Seoul healthcare landscape.</w:t>
      </w:r>
    </w:p>
    <w:bookmarkEnd w:id="20"/>
    <w:bookmarkStart w:id="21" w:name="X233039ef151b45f32575a6210b9d163979985cf"/>
    <w:p>
      <w:pPr>
        <w:pStyle w:val="Heading3"/>
      </w:pPr>
      <w:r>
        <w:t xml:space="preserve">Market Context: Ophthalmology in South Korea Seoul</w:t>
      </w:r>
    </w:p>
    <w:p>
      <w:pPr>
        <w:pStyle w:val="FirstParagraph"/>
      </w:pPr>
      <w:r>
        <w:t xml:space="preserve">Seoul's ophthalmology market demonstrates unprecedented growth due to three converging factors: an aging population (19.6% aged 65+), increasing digital device usage causing digital eye strain, and rising consumer awareness of preventive care. According to the Korean Ophthalmological Society, Seoul alone accounts for 38% of South Korea's total ophthalmic procedures. The city's high concentration of premium medical facilities creates a unique opportunity for specialized Ophthalmologist practices that prioritize technology integration and patient experience. This Sales Report confirms that our Seoul-based practice is capitalizing on these trends through targeted service expansion.</w:t>
      </w:r>
    </w:p>
    <w:bookmarkEnd w:id="21"/>
    <w:bookmarkStart w:id="22" w:name="sales-performance-breakdown-q1-2024"/>
    <w:p>
      <w:pPr>
        <w:pStyle w:val="Heading3"/>
      </w:pPr>
      <w:r>
        <w:t xml:space="preserve">Sales Performance Breakdown (Q1 2024)</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Change YoY</w:t>
            </w:r>
          </w:p>
        </w:tc>
        <w:tc>
          <w:tcPr/>
          <w:p>
            <w:pPr>
              <w:pStyle w:val="Compact"/>
              <w:jc w:val="left"/>
            </w:pPr>
            <w:r>
              <w:t xml:space="preserve">Key Driver</w:t>
            </w:r>
          </w:p>
        </w:tc>
        <w:tc>
          <w:tcPr/>
          <w:p>
            <w:pPr>
              <w:pStyle w:val="Compact"/>
            </w:pPr>
          </w:p>
        </w:tc>
      </w:tr>
      <w:tr>
        <w:tc>
          <w:tcPr/>
          <w:p>
            <w:pPr>
              <w:pStyle w:val="Compact"/>
              <w:jc w:val="left"/>
            </w:pPr>
            <w:r>
              <w:t xml:space="preserve">Cataract Surgery (Premium IOLs)</w:t>
            </w:r>
          </w:p>
        </w:tc>
        <w:tc>
          <w:tcPr/>
          <w:p>
            <w:pPr>
              <w:pStyle w:val="Compact"/>
              <w:jc w:val="left"/>
            </w:pPr>
            <w:r>
              <w:t xml:space="preserve">24,850,000</w:t>
            </w:r>
          </w:p>
        </w:tc>
        <w:tc>
          <w:tcPr/>
          <w:p>
            <w:pPr>
              <w:pStyle w:val="Compact"/>
              <w:jc w:val="left"/>
            </w:pPr>
            <w:r>
              <w:t xml:space="preserve">+32.4%</w:t>
            </w:r>
          </w:p>
        </w:tc>
        <w:tc>
          <w:tcPr/>
          <w:p>
            <w:pPr>
              <w:pStyle w:val="Compact"/>
              <w:jc w:val="left"/>
            </w:pPr>
            <w:r>
              <w:t xml:space="preserve">High demand for multifocal lenses in aging population</w:t>
            </w:r>
          </w:p>
        </w:tc>
        <w:tc>
          <w:tcPr/>
          <w:p>
            <w:pPr>
              <w:pStyle w:val="Compact"/>
            </w:pPr>
          </w:p>
        </w:tc>
      </w:tr>
      <w:tr>
        <w:tc>
          <w:tcPr/>
          <w:p>
            <w:pPr>
              <w:pStyle w:val="Compact"/>
              <w:jc w:val="left"/>
            </w:pPr>
            <w:r>
              <w:t xml:space="preserve">Laser Vision Correction (LASIK/PRK)</w:t>
            </w:r>
          </w:p>
        </w:tc>
        <w:tc>
          <w:tcPr/>
          <w:p>
            <w:pPr>
              <w:pStyle w:val="Compact"/>
              <w:jc w:val="left"/>
            </w:pPr>
            <w:r>
              <w:t xml:space="preserve">17,200,000</w:t>
            </w:r>
          </w:p>
        </w:tc>
        <w:tc>
          <w:tcPr/>
          <w:p>
            <w:pPr>
              <w:pStyle w:val="Compact"/>
              <w:jc w:val="left"/>
            </w:pPr>
            <w:r>
              <w:t xml:space="preserve">+18.9%</w:t>
            </w:r>
          </w:p>
        </w:tc>
        <w:tc>
          <w:tcPr/>
          <w:p>
            <w:pPr>
              <w:pStyle w:val="Compact"/>
              <w:jc w:val="left"/>
            </w:pPr>
            <w:r>
              <w:t xml:space="preserve">Increased youth market penetration (25-35 age group)</w:t>
            </w:r>
          </w:p>
        </w:tc>
        <w:tc>
          <w:tcPr/>
          <w:p>
            <w:pPr>
              <w:pStyle w:val="Compact"/>
            </w:pPr>
          </w:p>
        </w:tc>
      </w:tr>
      <w:tr>
        <w:tc>
          <w:tcPr/>
          <w:p>
            <w:pPr>
              <w:pStyle w:val="Compact"/>
              <w:jc w:val="left"/>
            </w:pPr>
            <w:r>
              <w:t xml:space="preserve">Retinal Disease Management</w:t>
            </w:r>
          </w:p>
        </w:tc>
        <w:tc>
          <w:tcPr/>
          <w:p>
            <w:pPr>
              <w:pStyle w:val="Compact"/>
              <w:jc w:val="left"/>
            </w:pPr>
            <w:r>
              <w:t xml:space="preserve">9,630,000</w:t>
            </w:r>
          </w:p>
        </w:tc>
        <w:tc>
          <w:tcPr/>
          <w:p>
            <w:pPr>
              <w:pStyle w:val="Compact"/>
              <w:jc w:val="left"/>
            </w:pPr>
            <w:r>
              <w:t xml:space="preserve">+27.1%</w:t>
            </w:r>
          </w:p>
        </w:tc>
        <w:tc>
          <w:tcPr/>
          <w:p>
            <w:pPr>
              <w:pStyle w:val="Compact"/>
              <w:jc w:val="left"/>
            </w:pPr>
            <w:r>
              <w:t xml:space="preserve">AI retinal imaging adoption (25% increase)</w:t>
            </w:r>
          </w:p>
        </w:tc>
        <w:tc>
          <w:tcPr/>
          <w:p>
            <w:pPr>
              <w:pStyle w:val="Compact"/>
            </w:pPr>
          </w:p>
        </w:tc>
      </w:tr>
      <w:tr>
        <w:tc>
          <w:tcPr/>
          <w:p>
            <w:pPr>
              <w:pStyle w:val="Compact"/>
              <w:jc w:val="left"/>
            </w:pPr>
            <w:r>
              <w:t xml:space="preserve">Glaucoma Monitoring &amp; Treatment</w:t>
            </w:r>
          </w:p>
        </w:tc>
        <w:tc>
          <w:tcPr/>
          <w:p>
            <w:pPr>
              <w:pStyle w:val="Compact"/>
              <w:jc w:val="left"/>
            </w:pPr>
            <w:r>
              <w:t xml:space="preserve">6,480,000</w:t>
            </w:r>
          </w:p>
        </w:tc>
        <w:tc>
          <w:tcPr/>
          <w:p>
            <w:pPr>
              <w:pStyle w:val="Compact"/>
              <w:jc w:val="left"/>
            </w:pPr>
            <w:r>
              <w:t xml:space="preserve">+15.3%</w:t>
            </w:r>
          </w:p>
        </w:tc>
        <w:tc>
          <w:tcPr/>
          <w:p>
            <w:pPr>
              <w:pStyle w:val="Compact"/>
              <w:jc w:val="left"/>
            </w:pPr>
            <w:r>
              <w:t xml:space="preserve">Expanded telemedicine services</w:t>
            </w:r>
          </w:p>
        </w:tc>
        <w:tc>
          <w:tcPr/>
          <w:p>
            <w:pPr>
              <w:pStyle w:val="Compact"/>
            </w:pPr>
          </w:p>
        </w:tc>
      </w:tr>
      <w:tr>
        <w:tc>
          <w:tcPr/>
          <w:p>
            <w:pPr>
              <w:pStyle w:val="Compact"/>
              <w:jc w:val="left"/>
            </w:pPr>
            <w:r>
              <w:t xml:space="preserve">Total Revenue</w:t>
            </w:r>
          </w:p>
        </w:tc>
        <w:tc>
          <w:tcPr/>
          <w:p>
            <w:pPr>
              <w:pStyle w:val="Compact"/>
              <w:jc w:val="left"/>
            </w:pPr>
            <w:r>
              <w:rPr>
                <w:bCs/>
                <w:b/>
              </w:rPr>
              <w:t xml:space="preserve">58,160,000</w:t>
            </w:r>
          </w:p>
        </w:tc>
        <w:tc>
          <w:tcPr/>
          <w:p>
            <w:pPr>
              <w:pStyle w:val="Compact"/>
              <w:jc w:val="left"/>
            </w:pPr>
            <w:r>
              <w:rPr>
                <w:bCs/>
                <w:b/>
              </w:rPr>
              <w:t xml:space="preserve">+22.7%</w:t>
            </w:r>
          </w:p>
        </w:tc>
        <w:tc>
          <w:tcPr>
            <w:gridSpan w:val="2"/>
          </w:tcPr>
          <w:p>
            <w:pPr>
              <w:pStyle w:val="Compact"/>
              <w:jc w:val="left"/>
            </w:pPr>
            <w:r>
              <w:t xml:space="preserve">Industry benchmark: 9.3% avg. growth</w:t>
            </w:r>
          </w:p>
        </w:tc>
      </w:tr>
    </w:tbl>
    <w:bookmarkEnd w:id="22"/>
    <w:bookmarkStart w:id="23" w:name="seoul-specific-market-dynamics"/>
    <w:p>
      <w:pPr>
        <w:pStyle w:val="Heading3"/>
      </w:pPr>
      <w:r>
        <w:t xml:space="preserve">Seoul-Specific Market Dynamics</w:t>
      </w:r>
    </w:p>
    <w:p>
      <w:pPr>
        <w:pStyle w:val="FirstParagraph"/>
      </w:pPr>
      <w:r>
        <w:t xml:space="preserve">South Korea Seoul's unique healthcare environment demands specialized sales strategies for ophthalmologists. Our analysis reveals three critical regional differentiators:</w:t>
      </w:r>
    </w:p>
    <w:p>
      <w:pPr>
        <w:numPr>
          <w:ilvl w:val="0"/>
          <w:numId w:val="1001"/>
        </w:numPr>
        <w:pStyle w:val="Compact"/>
      </w:pPr>
      <w:r>
        <w:rPr>
          <w:bCs/>
          <w:b/>
        </w:rPr>
        <w:t xml:space="preserve">Technology Adoption Acceleration:</w:t>
      </w:r>
      <w:r>
        <w:t xml:space="preserve"> </w:t>
      </w:r>
      <w:r>
        <w:t xml:space="preserve">Seoul leads national AI diagnostic implementation with 78% of premium clinics using OCT-angiography. Our Ophthalmologist practice's early adoption of the RetinaAI platform drove a 41% increase in complex case referrals.</w:t>
      </w:r>
    </w:p>
    <w:p>
      <w:pPr>
        <w:numPr>
          <w:ilvl w:val="0"/>
          <w:numId w:val="1001"/>
        </w:numPr>
        <w:pStyle w:val="Compact"/>
      </w:pPr>
      <w:r>
        <w:rPr>
          <w:bCs/>
          <w:b/>
        </w:rPr>
        <w:t xml:space="preserve">Cultural Preference for Preventive Care:</w:t>
      </w:r>
      <w:r>
        <w:t xml:space="preserve"> </w:t>
      </w:r>
      <w:r>
        <w:t xml:space="preserve">Unlike many markets, Seoul patients actively seek annual eye screenings. This trend boosted our routine exam bookings by 28% through targeted corporate wellness partnerships with major conglomerates (Samsung, LG).</w:t>
      </w:r>
    </w:p>
    <w:p>
      <w:pPr>
        <w:numPr>
          <w:ilvl w:val="0"/>
          <w:numId w:val="1001"/>
        </w:numPr>
        <w:pStyle w:val="Compact"/>
      </w:pPr>
      <w:r>
        <w:rPr>
          <w:bCs/>
          <w:b/>
        </w:rPr>
        <w:t xml:space="preserve">Insurance Reimbursement Shifts:</w:t>
      </w:r>
      <w:r>
        <w:t xml:space="preserve"> </w:t>
      </w:r>
      <w:r>
        <w:t xml:space="preserve">Recent Health Insurance Review Agency (HIRA) updates now cover 100% of diabetic retinopathy screenings. This policy change directly contributed to a 35% surge in our diabetic eye care program enrollments within Seoul.</w:t>
      </w:r>
    </w:p>
    <w:bookmarkEnd w:id="23"/>
    <w:bookmarkStart w:id="24" w:name="customer-insights-from-south-korea-seoul"/>
    <w:p>
      <w:pPr>
        <w:pStyle w:val="Heading3"/>
      </w:pPr>
      <w:r>
        <w:t xml:space="preserve">Customer Insights from South Korea Seoul</w:t>
      </w:r>
    </w:p>
    <w:p>
      <w:pPr>
        <w:pStyle w:val="FirstParagraph"/>
      </w:pPr>
      <w:r>
        <w:t xml:space="preserve">Analysis of 12,400 patient records from Seoul demonstrates distinct behavioral patterns:</w:t>
      </w:r>
    </w:p>
    <w:p>
      <w:pPr>
        <w:pStyle w:val="BodyText"/>
      </w:pPr>
      <w:r>
        <w:rPr>
          <w:bCs/>
          <w:b/>
        </w:rPr>
        <w:t xml:space="preserve">Demographic Shifts:</w:t>
      </w:r>
      <w:r>
        <w:t xml:space="preserve"> </w:t>
      </w:r>
      <w:r>
        <w:t xml:space="preserve">The 45-64 age group now represents 58% of surgical patients (up from 42% in 2021), driven by increased longevity and premium service accessibility. Simultaneously, the under-30 demographic shows a 37% rise in refractive surgery interest – a trend directly linked to Seoul's high-tech work culture.</w:t>
      </w:r>
    </w:p>
    <w:p>
      <w:pPr>
        <w:pStyle w:val="BodyText"/>
      </w:pPr>
      <w:r>
        <w:rPr>
          <w:bCs/>
          <w:b/>
        </w:rPr>
        <w:t xml:space="preserve">Service Expectation Evolution:</w:t>
      </w:r>
      <w:r>
        <w:t xml:space="preserve"> </w:t>
      </w:r>
      <w:r>
        <w:t xml:space="preserve">89% of Seoul patients prioritize "digital convenience" (online booking, virtual consultations) over traditional clinic visits. Our practice's mobile app integration reduced no-show rates by 23%, directly impacting sales volume. Additionally, the demand for multilingual Ophthalmologist services (English, Chinese, Japanese) increased by 54% due to Seoul's international business community.</w:t>
      </w:r>
    </w:p>
    <w:bookmarkEnd w:id="24"/>
    <w:bookmarkStart w:id="25" w:name="competitive-landscape-assessment"/>
    <w:p>
      <w:pPr>
        <w:pStyle w:val="Heading3"/>
      </w:pPr>
      <w:r>
        <w:t xml:space="preserve">Competitive Landscape Assessment</w:t>
      </w:r>
    </w:p>
    <w:p>
      <w:pPr>
        <w:pStyle w:val="FirstParagraph"/>
      </w:pPr>
      <w:r>
        <w:t xml:space="preserve">While Seoul contains over 180 ophthalmology clinics, our competitive advantage lies in three areas:</w:t>
      </w:r>
    </w:p>
    <w:p>
      <w:pPr>
        <w:numPr>
          <w:ilvl w:val="0"/>
          <w:numId w:val="1002"/>
        </w:numPr>
        <w:pStyle w:val="Compact"/>
      </w:pPr>
      <w:r>
        <w:rPr>
          <w:bCs/>
          <w:b/>
        </w:rPr>
        <w:t xml:space="preserve">Technology Differentiation:</w:t>
      </w:r>
      <w:r>
        <w:t xml:space="preserve"> </w:t>
      </w:r>
      <w:r>
        <w:t xml:space="preserve">Only 14% of Seoul competitors offer AI-assisted diagnostics. Our RetinaAI platform generates comprehensive reports that reduce diagnosis time by 63%, directly increasing patient throughput.</w:t>
      </w:r>
    </w:p>
    <w:p>
      <w:pPr>
        <w:numPr>
          <w:ilvl w:val="0"/>
          <w:numId w:val="1002"/>
        </w:numPr>
        <w:pStyle w:val="Compact"/>
      </w:pPr>
      <w:r>
        <w:rPr>
          <w:bCs/>
          <w:b/>
        </w:rPr>
        <w:t xml:space="preserve">Premium Experience Pricing:</w:t>
      </w:r>
      <w:r>
        <w:t xml:space="preserve"> </w:t>
      </w:r>
      <w:r>
        <w:t xml:space="preserve">Seoul's affluent demographic responds to our "Gold-tier" service package (private suites, dedicated nurse, post-op concierge), which commands a 35% price premium with 92% retention rate.</w:t>
      </w:r>
    </w:p>
    <w:p>
      <w:pPr>
        <w:numPr>
          <w:ilvl w:val="0"/>
          <w:numId w:val="1002"/>
        </w:numPr>
        <w:pStyle w:val="Compact"/>
      </w:pPr>
      <w:r>
        <w:rPr>
          <w:bCs/>
          <w:b/>
        </w:rPr>
        <w:t xml:space="preserve">Strategic Partnerships:</w:t>
      </w:r>
      <w:r>
        <w:t xml:space="preserve"> </w:t>
      </w:r>
      <w:r>
        <w:t xml:space="preserve">Collaborations with Samsung Medical Center and Seoul National University Hospital provide exclusive access to clinical trials and patient referrals – a critical advantage over generic clinics.</w:t>
      </w:r>
    </w:p>
    <w:bookmarkEnd w:id="25"/>
    <w:bookmarkStart w:id="26" w:name="challenges-strategic-recommendations"/>
    <w:p>
      <w:pPr>
        <w:pStyle w:val="Heading3"/>
      </w:pPr>
      <w:r>
        <w:t xml:space="preserve">Challenges &amp; Strategic Recommendations</w:t>
      </w:r>
    </w:p>
    <w:p>
      <w:pPr>
        <w:pStyle w:val="FirstParagraph"/>
      </w:pPr>
      <w:r>
        <w:rPr>
          <w:bCs/>
          <w:b/>
        </w:rPr>
        <w:t xml:space="preserve">Key Challenges Identified:</w:t>
      </w:r>
    </w:p>
    <w:p>
      <w:pPr>
        <w:numPr>
          <w:ilvl w:val="0"/>
          <w:numId w:val="1003"/>
        </w:numPr>
        <w:pStyle w:val="Compact"/>
      </w:pPr>
      <w:r>
        <w:t xml:space="preserve">Intensifying competition for skilled Ophthalmologist talent (Seoul vacancy rate: 18%)</w:t>
      </w:r>
    </w:p>
    <w:p>
      <w:pPr>
        <w:numPr>
          <w:ilvl w:val="0"/>
          <w:numId w:val="1003"/>
        </w:numPr>
        <w:pStyle w:val="Compact"/>
      </w:pPr>
      <w:r>
        <w:t xml:space="preserve">Rising costs of premium surgical equipment (32% YoY increase)</w:t>
      </w:r>
    </w:p>
    <w:p>
      <w:pPr>
        <w:numPr>
          <w:ilvl w:val="0"/>
          <w:numId w:val="1003"/>
        </w:numPr>
        <w:pStyle w:val="Compact"/>
      </w:pPr>
      <w:r>
        <w:t xml:space="preserve">Regulatory complexity in Seoul's specialized medical zones</w:t>
      </w:r>
    </w:p>
    <w:p>
      <w:pPr>
        <w:pStyle w:val="FirstParagraph"/>
      </w:pPr>
      <w:r>
        <w:rPr>
          <w:bCs/>
          <w:b/>
        </w:rPr>
        <w:t xml:space="preserve">Actionable Recommendations for Q2 2024:</w:t>
      </w:r>
    </w:p>
    <w:p>
      <w:pPr>
        <w:numPr>
          <w:ilvl w:val="0"/>
          <w:numId w:val="1004"/>
        </w:numPr>
        <w:pStyle w:val="Compact"/>
      </w:pPr>
      <w:r>
        <w:rPr>
          <w:bCs/>
          <w:b/>
        </w:rPr>
        <w:t xml:space="preserve">Expand AI Diagnostics Suite:</w:t>
      </w:r>
      <w:r>
        <w:t xml:space="preserve"> </w:t>
      </w:r>
      <w:r>
        <w:t xml:space="preserve">Allocate ₩8.7M to integrate new OCT-3D imaging, targeting a projected 15% revenue increase from diagnostic services in Seoul.</w:t>
      </w:r>
    </w:p>
    <w:p>
      <w:pPr>
        <w:numPr>
          <w:ilvl w:val="0"/>
          <w:numId w:val="1004"/>
        </w:numPr>
        <w:pStyle w:val="Compact"/>
      </w:pPr>
      <w:r>
        <w:rPr>
          <w:bCs/>
          <w:b/>
        </w:rPr>
        <w:t xml:space="preserve">Launch "Seoul Youth Vision" Program:</w:t>
      </w:r>
      <w:r>
        <w:t xml:space="preserve"> </w:t>
      </w:r>
      <w:r>
        <w:t xml:space="preserve">Partner with universities for subsidized laser surgery (18-24 age group), projecting 200+ new patients/month.</w:t>
      </w:r>
    </w:p>
    <w:p>
      <w:pPr>
        <w:numPr>
          <w:ilvl w:val="0"/>
          <w:numId w:val="1004"/>
        </w:numPr>
        <w:pStyle w:val="Compact"/>
      </w:pPr>
      <w:r>
        <w:rPr>
          <w:bCs/>
          <w:b/>
        </w:rPr>
        <w:t xml:space="preserve">Develop Multilingual Ophthalmologist Training:</w:t>
      </w:r>
      <w:r>
        <w:t xml:space="preserve"> </w:t>
      </w:r>
      <w:r>
        <w:t xml:space="preserve">Address talent gap by training 6 staff in Japanese/Chinese, targeting Seoul's international patient base growth (currently +33% YoY).</w:t>
      </w:r>
    </w:p>
    <w:p>
      <w:pPr>
        <w:numPr>
          <w:ilvl w:val="0"/>
          <w:numId w:val="1004"/>
        </w:numPr>
        <w:pStyle w:val="Compact"/>
      </w:pPr>
      <w:r>
        <w:rPr>
          <w:bCs/>
          <w:b/>
        </w:rPr>
        <w:t xml:space="preserve">Optimize Insurance Strategy:</w:t>
      </w:r>
      <w:r>
        <w:t xml:space="preserve"> </w:t>
      </w:r>
      <w:r>
        <w:t xml:space="preserve">Leverage new HIRA guidelines to maximize reimbursement on diabetic retinopathy screenings – projected ₩2.1M monthly revenue boost.</w:t>
      </w:r>
    </w:p>
    <w:bookmarkEnd w:id="26"/>
    <w:bookmarkStart w:id="27" w:name="conclusion"/>
    <w:p>
      <w:pPr>
        <w:pStyle w:val="Heading3"/>
      </w:pPr>
      <w:r>
        <w:t xml:space="preserve">Conclusion</w:t>
      </w:r>
    </w:p>
    <w:p>
      <w:pPr>
        <w:pStyle w:val="FirstParagraph"/>
      </w:pPr>
      <w:r>
        <w:t xml:space="preserve">This Sales Report unequivocally demonstrates that our Seoul-based Ophthalmologist practice is positioned for sustained market leadership in South Korea. The convergence of demographic trends, technological innovation, and strategic service differentiation has created a powerful sales engine generating revenue growth three times the national average. As we move into 2024's second quarter, focused investment in AI capabilities and targeted youth programs will capitalize on Seoul's unique healthcare dynamics. Crucially, our ability to translate specialized Ophthalmologist expertise into measurable patient outcomes and revenue streams solidifies our competitive advantage in South Korea's most demanding metropolitan medical market. We project 18-20% annual growth for the Seoul practice through Q4 2024, making it a critical asset in our national healthcare portfolio.</w:t>
      </w:r>
    </w:p>
    <w:p>
      <w:pPr>
        <w:pStyle w:val="BodyText"/>
      </w:pPr>
      <w:r>
        <w:t xml:space="preserve">Prepared by Healthcare Analytics Division | For internal strategic planning only</w:t>
      </w:r>
      <w:r>
        <w:br/>
      </w:r>
      <w:r>
        <w:t xml:space="preserve">This document contains confidential sales data for South Korea Seoul ophthalmology services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South Korea Seoul</dc:title>
  <dc:creator/>
  <dc:language>en</dc:language>
  <cp:keywords/>
  <dcterms:created xsi:type="dcterms:W3CDTF">2025-12-09T20:40:47Z</dcterms:created>
  <dcterms:modified xsi:type="dcterms:W3CDTF">2025-12-09T20:40:47Z</dcterms:modified>
</cp:coreProperties>
</file>

<file path=docProps/custom.xml><?xml version="1.0" encoding="utf-8"?>
<Properties xmlns="http://schemas.openxmlformats.org/officeDocument/2006/custom-properties" xmlns:vt="http://schemas.openxmlformats.org/officeDocument/2006/docPropsVTypes"/>
</file>