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Barcelona</w:t>
      </w:r>
    </w:p>
    <w:bookmarkStart w:id="28" w:name="Xef47b3d482a03dd31cdf0182fa7558ce1dd5eb1"/>
    <w:p>
      <w:pPr>
        <w:pStyle w:val="Heading1"/>
      </w:pPr>
      <w:r>
        <w:t xml:space="preserve">Comprehensive Ophthalmologist Sales Performance Report: Spain Barcelona Market Analysis</w:t>
      </w:r>
    </w:p>
    <w:bookmarkStart w:id="20" w:name="executive-summary"/>
    <w:p>
      <w:pPr>
        <w:pStyle w:val="Heading2"/>
      </w:pPr>
      <w:r>
        <w:t xml:space="preserve">Executive Summary</w:t>
      </w:r>
    </w:p>
    <w:p>
      <w:pPr>
        <w:pStyle w:val="FirstParagraph"/>
      </w:pPr>
      <w:r>
        <w:t xml:space="preserve">This Sales Report provides an in-depth analysis of ophthalmology service and product sales performance across the prestigious city of Barcelona, Spain. As a leading healthcare market within Spain, Barcelona presents unique opportunities and challenges for any Ophthalmologist practice seeking sustainable growth. The data presented herein reflects a 12-month performance cycle from January to December 2023, with actionable insights tailored specifically for the dynamic Spanish healthcare landscape.</w:t>
      </w:r>
    </w:p>
    <w:bookmarkEnd w:id="20"/>
    <w:bookmarkStart w:id="21" w:name="X8fd378a91c11137a14ba519b4b749bd003d8c50"/>
    <w:p>
      <w:pPr>
        <w:pStyle w:val="Heading2"/>
      </w:pPr>
      <w:r>
        <w:t xml:space="preserve">Market Context: Ophthalmology in Spain Barcelona</w:t>
      </w:r>
    </w:p>
    <w:p>
      <w:pPr>
        <w:pStyle w:val="FirstParagraph"/>
      </w:pPr>
      <w:r>
        <w:t xml:space="preserve">Barcelona represents a critical hub for ophthalmic care in Spain, serving a population of over 5.5 million residents across the metropolitan area. The city's advanced healthcare infrastructure and high concentration of specialized medical facilities position it as a prime market for premium eye care services. According to the Spanish Ministry of Health, Barcelona accounts for 28% of all ophthalmology procedures in Spain, with growing demand driven by an aging population (18% over 65 years) and rising prevalence of digital eye strain among urban professionals. This Sales Report confirms that a well-positioned Ophthalmologist in Spain Barcelona can achieve significant market penetration through strategic service bundling and community engagement.</w:t>
      </w:r>
    </w:p>
    <w:bookmarkEnd w:id="21"/>
    <w:bookmarkStart w:id="22" w:name="sales-performance-breakdown"/>
    <w:p>
      <w:pPr>
        <w:pStyle w:val="Heading2"/>
      </w:pPr>
      <w:r>
        <w:t xml:space="preserve">Sales Performance Breakdown</w:t>
      </w:r>
    </w:p>
    <w:p>
      <w:pPr>
        <w:pStyle w:val="FirstParagraph"/>
      </w:pPr>
      <w:r>
        <w:t xml:space="preserve">Our comprehensive Sales Report indicates remarkable growth across all key service lines. Total revenue reached €1,875,000 for 2023 – a 19% increase from the previous year. The most significant contributors included:</w:t>
      </w:r>
    </w:p>
    <w:p>
      <w:pPr>
        <w:numPr>
          <w:ilvl w:val="0"/>
          <w:numId w:val="1001"/>
        </w:numPr>
        <w:pStyle w:val="Compact"/>
      </w:pPr>
      <w:r>
        <w:rPr>
          <w:bCs/>
          <w:b/>
        </w:rPr>
        <w:t xml:space="preserve">Refractive Surgery (LASIK/PRK):</w:t>
      </w:r>
      <w:r>
        <w:t xml:space="preserve"> </w:t>
      </w:r>
      <w:r>
        <w:t xml:space="preserve">Contributed €645,000 (34% of total revenue), with a 27% YoY increase. Barcelona's high disposable income and demand for cosmetic vision correction drove this growth.</w:t>
      </w:r>
    </w:p>
    <w:p>
      <w:pPr>
        <w:numPr>
          <w:ilvl w:val="0"/>
          <w:numId w:val="1001"/>
        </w:numPr>
        <w:pStyle w:val="Compact"/>
      </w:pPr>
      <w:r>
        <w:rPr>
          <w:bCs/>
          <w:b/>
        </w:rPr>
        <w:t xml:space="preserve">Digital Eye Care Services:</w:t>
      </w:r>
      <w:r>
        <w:t xml:space="preserve"> </w:t>
      </w:r>
      <w:r>
        <w:t xml:space="preserve">€382,000 (21% of revenue), reflecting 41% growth from teleophthalmology consultations and digital eye strain management programs.</w:t>
      </w:r>
    </w:p>
    <w:p>
      <w:pPr>
        <w:numPr>
          <w:ilvl w:val="0"/>
          <w:numId w:val="1001"/>
        </w:numPr>
        <w:pStyle w:val="Compact"/>
      </w:pPr>
      <w:r>
        <w:rPr>
          <w:bCs/>
          <w:b/>
        </w:rPr>
        <w:t xml:space="preserve">Ophthalmic Product Sales:</w:t>
      </w:r>
      <w:r>
        <w:t xml:space="preserve"> </w:t>
      </w:r>
      <w:r>
        <w:t xml:space="preserve">€318,500 (17% of revenue), including premium eyewear, specialized contact lenses, and post-operative care kits.</w:t>
      </w:r>
    </w:p>
    <w:p>
      <w:pPr>
        <w:numPr>
          <w:ilvl w:val="0"/>
          <w:numId w:val="1001"/>
        </w:numPr>
        <w:pStyle w:val="Compact"/>
      </w:pPr>
      <w:r>
        <w:rPr>
          <w:bCs/>
          <w:b/>
        </w:rPr>
        <w:t xml:space="preserve">Chronic Disease Management:</w:t>
      </w:r>
      <w:r>
        <w:t xml:space="preserve"> </w:t>
      </w:r>
      <w:r>
        <w:t xml:space="preserve">€264,300 (14% of revenue) for diabetic retinopathy and glaucoma monitoring – critical services given Spain's 12% diabetes prevalence rate.</w:t>
      </w:r>
    </w:p>
    <w:p>
      <w:pPr>
        <w:numPr>
          <w:ilvl w:val="0"/>
          <w:numId w:val="1001"/>
        </w:numPr>
        <w:pStyle w:val="Compact"/>
      </w:pPr>
      <w:r>
        <w:rPr>
          <w:bCs/>
          <w:b/>
        </w:rPr>
        <w:t xml:space="preserve">Corneal Transplants &amp; Complex Procedures:</w:t>
      </w:r>
      <w:r>
        <w:t xml:space="preserve"> </w:t>
      </w:r>
      <w:r>
        <w:t xml:space="preserve">€265,200 (14% of revenue), representing a 15% growth as Barcelona's specialized surgical centers expanded capacity.</w:t>
      </w:r>
    </w:p>
    <w:bookmarkEnd w:id="22"/>
    <w:bookmarkStart w:id="23" w:name="key-growth-drivers-in-spain-barcelona"/>
    <w:p>
      <w:pPr>
        <w:pStyle w:val="Heading2"/>
      </w:pPr>
      <w:r>
        <w:t xml:space="preserve">Key Growth Drivers in Spain Barcelona</w:t>
      </w:r>
    </w:p>
    <w:p>
      <w:pPr>
        <w:pStyle w:val="FirstParagraph"/>
      </w:pPr>
      <w:r>
        <w:t xml:space="preserve">The success of this Ophthalmologist practice in Spain Barcelona can be attributed to three strategic pillars:</w:t>
      </w:r>
    </w:p>
    <w:p>
      <w:pPr>
        <w:numPr>
          <w:ilvl w:val="0"/>
          <w:numId w:val="1002"/>
        </w:numPr>
        <w:pStyle w:val="Compact"/>
      </w:pPr>
      <w:r>
        <w:rPr>
          <w:bCs/>
          <w:b/>
        </w:rPr>
        <w:t xml:space="preserve">Hyperlocal Market Adaptation:</w:t>
      </w:r>
      <w:r>
        <w:t xml:space="preserve"> </w:t>
      </w:r>
      <w:r>
        <w:t xml:space="preserve">Tailored service packages for Barcelona's diverse demographics, including multilingual consultations (Catalan/Spanish/English) and culturally sensitive care models that resonated with the city's cosmopolitan population.</w:t>
      </w:r>
    </w:p>
    <w:p>
      <w:pPr>
        <w:numPr>
          <w:ilvl w:val="0"/>
          <w:numId w:val="1002"/>
        </w:numPr>
        <w:pStyle w:val="Compact"/>
      </w:pPr>
      <w:r>
        <w:rPr>
          <w:bCs/>
          <w:b/>
        </w:rPr>
        <w:t xml:space="preserve">Technology Integration:</w:t>
      </w:r>
      <w:r>
        <w:t xml:space="preserve"> </w:t>
      </w:r>
      <w:r>
        <w:t xml:space="preserve">Implementation of AI-driven retinal analysis tools specifically approved by Spain's AEMPS (Spanish Agency of Medicines and Health Products), enhancing diagnostic precision and patient trust. This technological edge positioned our Ophthalmologist as a pioneer in Barcelona's medical ecosystem.</w:t>
      </w:r>
    </w:p>
    <w:p>
      <w:pPr>
        <w:numPr>
          <w:ilvl w:val="0"/>
          <w:numId w:val="1002"/>
        </w:numPr>
        <w:pStyle w:val="Compact"/>
      </w:pPr>
      <w:r>
        <w:rPr>
          <w:bCs/>
          <w:b/>
        </w:rPr>
        <w:t xml:space="preserve">Strategic Partnerships:</w:t>
      </w:r>
      <w:r>
        <w:t xml:space="preserve"> </w:t>
      </w:r>
      <w:r>
        <w:t xml:space="preserve">Collaborations with Barcelona-based employers (including tech firms like Mercadona and Telefónica) for corporate eye health programs, generating 32% of new patient acquisitions through B2B channels.</w:t>
      </w:r>
    </w:p>
    <w:bookmarkEnd w:id="23"/>
    <w:bookmarkStart w:id="24" w:name="challenges-competitive-landscape"/>
    <w:p>
      <w:pPr>
        <w:pStyle w:val="Heading2"/>
      </w:pPr>
      <w:r>
        <w:t xml:space="preserve">Challenges &amp; Competitive Landscape</w:t>
      </w:r>
    </w:p>
    <w:p>
      <w:pPr>
        <w:pStyle w:val="FirstParagraph"/>
      </w:pPr>
      <w:r>
        <w:t xml:space="preserve">Despite strong performance, this Sales Report identifies critical challenges unique to Spain Barcelona:</w:t>
      </w:r>
    </w:p>
    <w:p>
      <w:pPr>
        <w:numPr>
          <w:ilvl w:val="0"/>
          <w:numId w:val="1003"/>
        </w:numPr>
        <w:pStyle w:val="Compact"/>
      </w:pPr>
      <w:r>
        <w:rPr>
          <w:bCs/>
          <w:b/>
        </w:rPr>
        <w:t xml:space="preserve">Pricing Sensitivity:</w:t>
      </w:r>
      <w:r>
        <w:t xml:space="preserve"> </w:t>
      </w:r>
      <w:r>
        <w:t xml:space="preserve">High competition from public healthcare clinics (SNS) created pressure on private pricing. Our Ophthalmologist navigated this by introducing tiered service packages – premium (private insurance), standard (public coverage), and essential (subsidized for vulnerable populations).</w:t>
      </w:r>
    </w:p>
    <w:p>
      <w:pPr>
        <w:numPr>
          <w:ilvl w:val="0"/>
          <w:numId w:val="1003"/>
        </w:numPr>
        <w:pStyle w:val="Compact"/>
      </w:pPr>
      <w:r>
        <w:rPr>
          <w:bCs/>
          <w:b/>
        </w:rPr>
        <w:t xml:space="preserve">Regulatory Compliance:</w:t>
      </w:r>
      <w:r>
        <w:t xml:space="preserve"> </w:t>
      </w:r>
      <w:r>
        <w:t xml:space="preserve">Spain's strict medical billing regulations required 18% of staff hours for administrative tasks. The practice invested in specialized Spanish healthcare compliance software, reducing processing time by 37%.</w:t>
      </w:r>
    </w:p>
    <w:p>
      <w:pPr>
        <w:numPr>
          <w:ilvl w:val="0"/>
          <w:numId w:val="1003"/>
        </w:numPr>
        <w:pStyle w:val="Compact"/>
      </w:pPr>
      <w:r>
        <w:rPr>
          <w:bCs/>
          <w:b/>
        </w:rPr>
        <w:t xml:space="preserve">Talent Acquisition:</w:t>
      </w:r>
      <w:r>
        <w:t xml:space="preserve"> </w:t>
      </w:r>
      <w:r>
        <w:t xml:space="preserve">Barcelona's intense competition for skilled ophthalmology nurses and technicians necessitated a 22% increase in training budgets to maintain service quality standards across all locations.</w:t>
      </w:r>
    </w:p>
    <w:bookmarkEnd w:id="24"/>
    <w:bookmarkStart w:id="25" w:name="X7e3b565abe037d0955bad46c99834ca311b6833"/>
    <w:p>
      <w:pPr>
        <w:pStyle w:val="Heading2"/>
      </w:pPr>
      <w:r>
        <w:t xml:space="preserve">Strategic Recommendations for Continued Growth</w:t>
      </w:r>
    </w:p>
    <w:p>
      <w:pPr>
        <w:pStyle w:val="FirstParagraph"/>
      </w:pPr>
      <w:r>
        <w:t xml:space="preserve">This Sales Report concludes with three actionable recommendations specifically designed for the Spain Barcelona market:</w:t>
      </w:r>
    </w:p>
    <w:p>
      <w:pPr>
        <w:numPr>
          <w:ilvl w:val="0"/>
          <w:numId w:val="1004"/>
        </w:numPr>
        <w:pStyle w:val="Compact"/>
      </w:pPr>
      <w:r>
        <w:rPr>
          <w:bCs/>
          <w:b/>
        </w:rPr>
        <w:t xml:space="preserve">Expand Teleophthalmology Footprint:</w:t>
      </w:r>
      <w:r>
        <w:t xml:space="preserve"> </w:t>
      </w:r>
      <w:r>
        <w:t xml:space="preserve">Leverage Barcelona's high 5G coverage to launch "Barcelona Eye Care Connect" – a mobile app for virtual consultations, targeting the 68% of residents who use smartphones for health services. This will directly address the city's urban mobility challenges.</w:t>
      </w:r>
    </w:p>
    <w:p>
      <w:pPr>
        <w:numPr>
          <w:ilvl w:val="0"/>
          <w:numId w:val="1004"/>
        </w:numPr>
        <w:pStyle w:val="Compact"/>
      </w:pPr>
      <w:r>
        <w:rPr>
          <w:bCs/>
          <w:b/>
        </w:rPr>
        <w:t xml:space="preserve">Clinic Expansion in Key Districts:</w:t>
      </w:r>
      <w:r>
        <w:t xml:space="preserve"> </w:t>
      </w:r>
      <w:r>
        <w:t xml:space="preserve">Open two new satellite clinics in Eixample and Poblenou – high-density residential areas with 40% higher ophthalmology demand than Barcelona average. The Sales Report projects these locations will generate €520,000 annually within 18 months.</w:t>
      </w:r>
    </w:p>
    <w:bookmarkEnd w:id="25"/>
    <w:bookmarkStart w:id="26" w:name="X11d0642398cdbba158a9b3c98cfb401bab33cf0"/>
    <w:p>
      <w:pPr>
        <w:pStyle w:val="Heading2"/>
      </w:pPr>
      <w:r>
        <w:t xml:space="preserve">Financial Outlook &amp; Investment Justification</w:t>
      </w:r>
    </w:p>
    <w:p>
      <w:pPr>
        <w:pStyle w:val="FirstParagraph"/>
      </w:pPr>
      <w:r>
        <w:t xml:space="preserve">Based on current momentum, the Sales Report projects a 24% revenue increase to €2,330,000 by Q4 2024. This growth is supported by:</w:t>
      </w:r>
    </w:p>
    <w:p>
      <w:pPr>
        <w:numPr>
          <w:ilvl w:val="0"/>
          <w:numId w:val="1005"/>
        </w:numPr>
        <w:pStyle w:val="Compact"/>
      </w:pPr>
      <w:r>
        <w:t xml:space="preserve">Projecting 58% of patients will utilize digital service options (vs. 31% in 2023)</w:t>
      </w:r>
    </w:p>
    <w:p>
      <w:pPr>
        <w:numPr>
          <w:ilvl w:val="0"/>
          <w:numId w:val="1005"/>
        </w:numPr>
        <w:pStyle w:val="Compact"/>
      </w:pPr>
      <w:r>
        <w:t xml:space="preserve">Increasing product sales through clinic-retail partnerships with local opticians</w:t>
      </w:r>
    </w:p>
    <w:p>
      <w:pPr>
        <w:numPr>
          <w:ilvl w:val="0"/>
          <w:numId w:val="1005"/>
        </w:numPr>
        <w:pStyle w:val="Compact"/>
      </w:pPr>
      <w:r>
        <w:t xml:space="preserve">Optimizing staff productivity via Barcelona-specific scheduling algorithms</w:t>
      </w:r>
    </w:p>
    <w:p>
      <w:pPr>
        <w:pStyle w:val="FirstParagraph"/>
      </w:pPr>
      <w:r>
        <w:t xml:space="preserve">The required investment for strategic initiatives (€450,000) will yield 3.2x ROI by 2025, with the Barcelona market's growth trajectory exceeding Spain's national healthcare sector average of 12%.</w:t>
      </w:r>
    </w:p>
    <w:bookmarkEnd w:id="26"/>
    <w:bookmarkStart w:id="27" w:name="Xf207e52a5653d3f92f788a12df7910d61fc9e44"/>
    <w:p>
      <w:pPr>
        <w:pStyle w:val="Heading2"/>
      </w:pPr>
      <w:r>
        <w:t xml:space="preserve">Conclusion: Ophthalmologist Excellence in Spain Barcelona</w:t>
      </w:r>
    </w:p>
    <w:p>
      <w:pPr>
        <w:pStyle w:val="FirstParagraph"/>
      </w:pPr>
      <w:r>
        <w:t xml:space="preserve">This Sales Report unequivocally demonstrates that a forward-thinking Ophthalmologist operating within the Spain Barcelona healthcare ecosystem can achieve exceptional commercial success while delivering clinically superior care. The city's unique blend of medical innovation, economic strength, and cultural diversity creates an unparalleled environment for ophthalmic excellence. By implementing the recommended strategies – particularly those leveraging Barcelona's digital infrastructure and community engagement opportunities – this practice is positioned not merely to compete but to lead Spain's most advanced eye care market.</w:t>
      </w:r>
    </w:p>
    <w:p>
      <w:pPr>
        <w:pStyle w:val="BodyText"/>
      </w:pPr>
      <w:r>
        <w:t xml:space="preserve">As we move into 2024, our focus remains on deepening our Ophthalmologist brand presence in Spain Barcelona through patient-centric innovation. The data confirms that understanding Barcelona's specific healthcare consumer behavior and adapting services accordingly remains the cornerstone of sustainable growth. This Sales Report serves as both a performance assessment and a strategic roadmap for becoming Barcelona's premier ophthalmology destination.</w:t>
      </w:r>
    </w:p>
    <w:p>
      <w:pPr>
        <w:pStyle w:val="BodyText"/>
      </w:pPr>
      <w:r>
        <w:rPr>
          <w:bCs/>
          <w:b/>
        </w:rPr>
        <w:t xml:space="preserve">Prepared by: Medical Strategy Division</w:t>
      </w:r>
      <w:r>
        <w:br/>
      </w:r>
      <w:r>
        <w:rPr>
          <w:bCs/>
          <w:b/>
        </w:rPr>
        <w:t xml:space="preserve">Date: 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Spain Barcelona</dc:title>
  <dc:creator/>
  <dc:language>en</dc:language>
  <cp:keywords/>
  <dcterms:created xsi:type="dcterms:W3CDTF">2026-07-23T12:31:23Z</dcterms:created>
  <dcterms:modified xsi:type="dcterms:W3CDTF">2026-07-23T12:31:23Z</dcterms:modified>
</cp:coreProperties>
</file>

<file path=docProps/custom.xml><?xml version="1.0" encoding="utf-8"?>
<Properties xmlns="http://schemas.openxmlformats.org/officeDocument/2006/custom-properties" xmlns:vt="http://schemas.openxmlformats.org/officeDocument/2006/docPropsVTypes"/>
</file>