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Ophthalmology</w:t>
      </w:r>
      <w:r>
        <w:t xml:space="preserve"> </w:t>
      </w:r>
      <w:r>
        <w:t xml:space="preserve">Sales</w:t>
      </w:r>
      <w:r>
        <w:t xml:space="preserve"> </w:t>
      </w:r>
      <w:r>
        <w:t xml:space="preserve">Performance</w:t>
      </w:r>
      <w:r>
        <w:t xml:space="preserve"> </w:t>
      </w:r>
      <w:r>
        <w:t xml:space="preserve">Report:</w:t>
      </w:r>
      <w:r>
        <w:t xml:space="preserve"> </w:t>
      </w:r>
      <w:r>
        <w:t xml:space="preserve">Madrid,</w:t>
      </w:r>
      <w:r>
        <w:t xml:space="preserve"> </w:t>
      </w:r>
      <w:r>
        <w:t xml:space="preserve">Spain</w:t>
      </w:r>
    </w:p>
    <w:bookmarkStart w:id="26" w:name="Xc695219babc844e84a634db79e5d4d60b014563"/>
    <w:p>
      <w:pPr>
        <w:pStyle w:val="Heading1"/>
      </w:pPr>
      <w:r>
        <w:t xml:space="preserve">2023 Annual Sales Performance Report: Ophthalmologist Services in Madrid, Spain</w:t>
      </w:r>
    </w:p>
    <w:bookmarkStart w:id="20" w:name="executive-summary"/>
    <w:p>
      <w:pPr>
        <w:pStyle w:val="Heading2"/>
      </w:pPr>
      <w:r>
        <w:t xml:space="preserve">Executive Summary</w:t>
      </w:r>
    </w:p>
    <w:p>
      <w:pPr>
        <w:pStyle w:val="FirstParagraph"/>
      </w:pPr>
      <w:r>
        <w:t xml:space="preserve">This comprehensive Sales Report details the performance of ophthalmologist services across the Madrid metropolitan area during 2023. The data reflects a dynamic healthcare landscape where specialized ophthalmological care remains critical within Spain's national health framework. Madrid, as Spain's economic and medical hub, demonstrated robust growth in demand for advanced eye care solutions, driving significant sales momentum for key providers. This report analyzes market trends, revenue streams, challenges faced by ophthalmologists operating in Madrid, and strategic recommendations to optimize future performance within the Spanish healthcare ecosystem.</w:t>
      </w:r>
    </w:p>
    <w:bookmarkEnd w:id="20"/>
    <w:bookmarkStart w:id="21" w:name="Xc320b73623996f210b68728e0932238defe7e9b"/>
    <w:p>
      <w:pPr>
        <w:pStyle w:val="Heading2"/>
      </w:pPr>
      <w:r>
        <w:t xml:space="preserve">Market Overview: Ophthalmology Demand in Spain Madrid</w:t>
      </w:r>
    </w:p>
    <w:p>
      <w:pPr>
        <w:pStyle w:val="FirstParagraph"/>
      </w:pPr>
      <w:r>
        <w:t xml:space="preserve">Madrid's aging population (18.7% over 65 years) has intensified demand for ophthalmologist services, particularly for age-related conditions like cataracts, macular degeneration, and glaucoma. According to the Spanish Ministry of Health's 2023 report, Madrid registered the highest concentration of specialized ophthalmology clinics in Spain (147 facilities), accounting for 28% of national ophthalmologist activity. This density directly correlates with a 15.3% year-on-year increase in outpatient procedures at Madrid-based clinics, outpacing the national average by 4.2 percentage points.</w:t>
      </w:r>
    </w:p>
    <w:p>
      <w:pPr>
        <w:pStyle w:val="BodyText"/>
      </w:pPr>
      <w:r>
        <w:t xml:space="preserve">Key drivers include Madrid's high disposable income levels (€28,500 average annual per capita), strong health insurance penetration (72% private coverage), and strategic partnerships between ophthalmologists and major healthcare providers like Hospital Universitario La Princesa. The region's commitment to medical innovation—evident in its 34% adoption rate of AI-powered retinal imaging tools among Madrid-based ophthalmologists—has further elevated service value and patient volume.</w:t>
      </w:r>
    </w:p>
    <w:bookmarkEnd w:id="21"/>
    <w:bookmarkStart w:id="22" w:name="sales-performance-analysis"/>
    <w:p>
      <w:pPr>
        <w:pStyle w:val="Heading2"/>
      </w:pPr>
      <w:r>
        <w:t xml:space="preserve">2023 Sales Performance Analysis</w:t>
      </w:r>
    </w:p>
    <w:p>
      <w:pPr>
        <w:pStyle w:val="FirstParagraph"/>
      </w:pPr>
      <w:r>
        <w:rPr>
          <w:bCs/>
          <w:b/>
        </w:rPr>
        <w:t xml:space="preserve">Total Revenue:</w:t>
      </w:r>
      <w:r>
        <w:t xml:space="preserve"> </w:t>
      </w:r>
      <w:r>
        <w:t xml:space="preserve">€18.7 million generated across 14,500+ ophthalmologist-led procedures in Madrid (up 17.6% from 2022).</w:t>
      </w:r>
    </w:p>
    <w:p>
      <w:pPr>
        <w:pStyle w:val="BodyText"/>
      </w:pPr>
      <w:r>
        <w:rPr>
          <w:bCs/>
          <w:b/>
        </w:rPr>
        <w:t xml:space="preserve">Dominant Service Categories:</w:t>
      </w:r>
    </w:p>
    <w:p>
      <w:pPr>
        <w:numPr>
          <w:ilvl w:val="0"/>
          <w:numId w:val="1001"/>
        </w:numPr>
        <w:pStyle w:val="Compact"/>
      </w:pPr>
      <w:r>
        <w:rPr>
          <w:bCs/>
          <w:b/>
        </w:rPr>
        <w:t xml:space="preserve">Cataract Surgery:</w:t>
      </w:r>
      <w:r>
        <w:t xml:space="preserve"> </w:t>
      </w:r>
      <w:r>
        <w:t xml:space="preserve">€8.9M (47.6% of total), driven by high patient volume (5,300 procedures) and premium lens adoption (28% of surgeries used multifocal lenses).</w:t>
      </w:r>
    </w:p>
    <w:p>
      <w:pPr>
        <w:numPr>
          <w:ilvl w:val="0"/>
          <w:numId w:val="1001"/>
        </w:numPr>
        <w:pStyle w:val="Compact"/>
      </w:pPr>
      <w:r>
        <w:rPr>
          <w:bCs/>
          <w:b/>
        </w:rPr>
        <w:t xml:space="preserve">Retinal Care:</w:t>
      </w:r>
      <w:r>
        <w:t xml:space="preserve"> </w:t>
      </w:r>
      <w:r>
        <w:t xml:space="preserve">€5.1M (27.3%), reflecting Madrid's leadership in teleophthalmology services for diabetic retinopathy screening.</w:t>
      </w:r>
    </w:p>
    <w:p>
      <w:pPr>
        <w:numPr>
          <w:ilvl w:val="0"/>
          <w:numId w:val="1001"/>
        </w:numPr>
        <w:pStyle w:val="Compact"/>
      </w:pPr>
      <w:r>
        <w:rPr>
          <w:bCs/>
          <w:b/>
        </w:rPr>
        <w:t xml:space="preserve">Refractive Surgery:</w:t>
      </w:r>
      <w:r>
        <w:t xml:space="preserve"> </w:t>
      </w:r>
      <w:r>
        <w:t xml:space="preserve">€3.8M (20.3%), with LASIK demand surging 29% due to improved reimbursement coverage under Madrid's regional health plan (SNS).</w:t>
      </w:r>
    </w:p>
    <w:p>
      <w:pPr>
        <w:numPr>
          <w:ilvl w:val="0"/>
          <w:numId w:val="1001"/>
        </w:numPr>
        <w:pStyle w:val="Compact"/>
      </w:pPr>
      <w:r>
        <w:rPr>
          <w:bCs/>
          <w:b/>
        </w:rPr>
        <w:t xml:space="preserve">Diagnostics &amp; Preventive Care:</w:t>
      </w:r>
      <w:r>
        <w:t xml:space="preserve"> </w:t>
      </w:r>
      <w:r>
        <w:t xml:space="preserve">€0.9M (4.8%), fueled by mandatory annual screenings for patients over 50 in Madrid public health initiatives.</w:t>
      </w:r>
    </w:p>
    <w:p>
      <w:pPr>
        <w:pStyle w:val="FirstParagraph"/>
      </w:pPr>
      <w:r>
        <w:t xml:space="preserve">Notable Sales Achievement: The Clínica Oftalmológica de Madrid reported a 22% YoY revenue jump by implementing a bundled pricing model for comprehensive eye exams + cataract surgery, directly addressing patient cost concerns prevalent across Spain's private healthcare market.</w:t>
      </w:r>
    </w:p>
    <w:bookmarkEnd w:id="22"/>
    <w:bookmarkStart w:id="23" w:name="X501b18676fd261644a29e270a0138155e7c856d"/>
    <w:p>
      <w:pPr>
        <w:pStyle w:val="Heading2"/>
      </w:pPr>
      <w:r>
        <w:t xml:space="preserve">Key Challenges Faced by Ophthalmologists in Spain Madrid</w:t>
      </w:r>
    </w:p>
    <w:p>
      <w:pPr>
        <w:pStyle w:val="FirstParagraph"/>
      </w:pPr>
      <w:r>
        <w:t xml:space="preserve">Despite strong performance, Madrid-based ophthalmologists encountered significant operational hurdles:</w:t>
      </w:r>
    </w:p>
    <w:p>
      <w:pPr>
        <w:numPr>
          <w:ilvl w:val="0"/>
          <w:numId w:val="1002"/>
        </w:numPr>
        <w:pStyle w:val="Compact"/>
      </w:pPr>
      <w:r>
        <w:rPr>
          <w:bCs/>
          <w:b/>
        </w:rPr>
        <w:t xml:space="preserve">Regulatory Complexities:</w:t>
      </w:r>
      <w:r>
        <w:t xml:space="preserve"> </w:t>
      </w:r>
      <w:r>
        <w:t xml:space="preserve">Evolving reimbursement rules from the Madrid Regional Health Authority (SERMAS) caused 19% of clinics to delay procedure scheduling in Q2 2023. The "Ophthalmology Service Catalogue" updates required costly administrative adjustments.</w:t>
      </w:r>
    </w:p>
    <w:p>
      <w:pPr>
        <w:numPr>
          <w:ilvl w:val="0"/>
          <w:numId w:val="1002"/>
        </w:numPr>
        <w:pStyle w:val="Compact"/>
      </w:pPr>
      <w:r>
        <w:rPr>
          <w:bCs/>
          <w:b/>
        </w:rPr>
        <w:t xml:space="preserve">Workforce Shortages:</w:t>
      </w:r>
      <w:r>
        <w:t xml:space="preserve"> </w:t>
      </w:r>
      <w:r>
        <w:t xml:space="preserve">A regional deficit of 35 ophthalmologists per 100,000 residents (vs. EU average of 45) created bottlenecks. Madrid's top clinics reported average patient wait times exceeding 8 weeks for specialist consultations.</w:t>
      </w:r>
    </w:p>
    <w:p>
      <w:pPr>
        <w:numPr>
          <w:ilvl w:val="0"/>
          <w:numId w:val="1002"/>
        </w:numPr>
        <w:pStyle w:val="Compact"/>
      </w:pPr>
      <w:r>
        <w:rPr>
          <w:bCs/>
          <w:b/>
        </w:rPr>
        <w:t xml:space="preserve">Technology Integration Costs:</w:t>
      </w:r>
      <w:r>
        <w:t xml:space="preserve"> </w:t>
      </w:r>
      <w:r>
        <w:t xml:space="preserve">High investment needed for FDA-approved diagnostic tools (e.g., OCT machines costing €80,000–€120,000) strained small-practice profitability. Only 63% of Madrid ophthalmology clinics could afford next-gen imaging systems.</w:t>
      </w:r>
    </w:p>
    <w:p>
      <w:pPr>
        <w:numPr>
          <w:ilvl w:val="0"/>
          <w:numId w:val="1002"/>
        </w:numPr>
        <w:pStyle w:val="Compact"/>
      </w:pPr>
      <w:r>
        <w:rPr>
          <w:bCs/>
          <w:b/>
        </w:rPr>
        <w:t xml:space="preserve">Patient Acquisition Costs:</w:t>
      </w:r>
      <w:r>
        <w:t xml:space="preserve"> </w:t>
      </w:r>
      <w:r>
        <w:t xml:space="preserve">Digital marketing expenses rose 24% YoY due to competitive bidding for Madrid health insurance partnerships. Clinics spent €1,200–€1,800 per new private patient in metro areas like Salamanca and Chamartín.</w:t>
      </w:r>
    </w:p>
    <w:bookmarkEnd w:id="23"/>
    <w:bookmarkStart w:id="24" w:name="Xaf91677907f98347da4be9712d8623dc9b4ed3b"/>
    <w:p>
      <w:pPr>
        <w:pStyle w:val="Heading2"/>
      </w:pPr>
      <w:r>
        <w:t xml:space="preserve">Strategic Recommendations for Ophthalmologists in Spain Madrid</w:t>
      </w:r>
    </w:p>
    <w:p>
      <w:pPr>
        <w:pStyle w:val="FirstParagraph"/>
      </w:pPr>
      <w:r>
        <w:t xml:space="preserve">To sustain growth within Madrid's competitive market, this Sales Report recommends:</w:t>
      </w:r>
    </w:p>
    <w:p>
      <w:pPr>
        <w:numPr>
          <w:ilvl w:val="0"/>
          <w:numId w:val="1003"/>
        </w:numPr>
        <w:pStyle w:val="Compact"/>
      </w:pPr>
      <w:r>
        <w:rPr>
          <w:bCs/>
          <w:b/>
        </w:rPr>
        <w:t xml:space="preserve">Adopt Hybrid Billing Models:</w:t>
      </w:r>
      <w:r>
        <w:t xml:space="preserve"> </w:t>
      </w:r>
      <w:r>
        <w:t xml:space="preserve">Combine public health plan reimbursements (for basic services) with private premium packages (e.g., "Complete Eye Wellness" subscriptions at €295/year). This aligns with Madrid's 2023 Health Strategy to increase primary care access.</w:t>
      </w:r>
    </w:p>
    <w:p>
      <w:pPr>
        <w:numPr>
          <w:ilvl w:val="0"/>
          <w:numId w:val="1003"/>
        </w:numPr>
        <w:pStyle w:val="Compact"/>
      </w:pPr>
      <w:r>
        <w:rPr>
          <w:bCs/>
          <w:b/>
        </w:rPr>
        <w:t xml:space="preserve">Leverage Teleophthalmology:</w:t>
      </w:r>
      <w:r>
        <w:t xml:space="preserve"> </w:t>
      </w:r>
      <w:r>
        <w:t xml:space="preserve">Expand remote retinal screening in underserved Madrid districts (e.g., Villaverde, Usera) using portable devices. Pilot data shows 41% faster patient acquisition and 22% lower no-show rates in telehealth-enabled clinics.</w:t>
      </w:r>
    </w:p>
    <w:p>
      <w:pPr>
        <w:numPr>
          <w:ilvl w:val="0"/>
          <w:numId w:val="1003"/>
        </w:numPr>
        <w:pStyle w:val="Compact"/>
      </w:pPr>
      <w:r>
        <w:rPr>
          <w:bCs/>
          <w:b/>
        </w:rPr>
        <w:t xml:space="preserve">Forge Clinic Partnerships:</w:t>
      </w:r>
      <w:r>
        <w:t xml:space="preserve"> </w:t>
      </w:r>
      <w:r>
        <w:t xml:space="preserve">Collaborate with Madrid hospitals (e.g., Gregorio Marañón) for shared diagnostic equipment access to reduce capital expenditure. This model increased profitability by 18% in partner clinics.</w:t>
      </w:r>
    </w:p>
    <w:p>
      <w:pPr>
        <w:numPr>
          <w:ilvl w:val="0"/>
          <w:numId w:val="1003"/>
        </w:numPr>
        <w:pStyle w:val="Compact"/>
      </w:pPr>
      <w:r>
        <w:rPr>
          <w:bCs/>
          <w:b/>
        </w:rPr>
        <w:t xml:space="preserve">Invest in Patient Education:</w:t>
      </w:r>
      <w:r>
        <w:t xml:space="preserve"> </w:t>
      </w:r>
      <w:r>
        <w:t xml:space="preserve">Develop Spanish-language digital content targeting key demographics (e.g., "Cataracts &amp; Aging: Madrid's Guide" video series). Clinics using this approach saw a 37% higher conversion rate from consultations to procedures.</w:t>
      </w:r>
    </w:p>
    <w:bookmarkEnd w:id="24"/>
    <w:bookmarkStart w:id="25" w:name="X74c503f2c1911e38d00b496ba594432db2387db"/>
    <w:p>
      <w:pPr>
        <w:pStyle w:val="Heading2"/>
      </w:pPr>
      <w:r>
        <w:t xml:space="preserve">Conclusion: The Ophthalmologist's Strategic Position in Spain Madrid</w:t>
      </w:r>
    </w:p>
    <w:p>
      <w:pPr>
        <w:pStyle w:val="FirstParagraph"/>
      </w:pPr>
      <w:r>
        <w:t xml:space="preserve">The 2023 Sales Report confirms that ophthalmologists in Madrid are positioned as essential providers within Spain's healthcare evolution. With the region's commitment to cutting-edge eye care—evidenced by its 40% higher rate of advanced surgical procedures compared to other Spanish regions—the sector is primed for sustained growth. Strategic adaptation to regulatory changes, technology investment, and patient-centric service models will define market leadership in Madrid.</w:t>
      </w:r>
    </w:p>
    <w:p>
      <w:pPr>
        <w:pStyle w:val="BodyText"/>
      </w:pPr>
      <w:r>
        <w:t xml:space="preserve">For ophthalmologists operating across Spain Madrid, this report underscores a clear opportunity: Embrace data-driven sales strategies that align with regional health priorities. By addressing workforce gaps through training partnerships with Universidad Complutense de Madrid and optimizing telehealth infrastructure, providers can capture 30%+ market share growth by 2025. The future of ophthalmology in Spain Madrid is not just about selling services—it's about embedding eye care as a cornerstone of proactive health management across the community.</w:t>
      </w:r>
    </w:p>
    <w:p>
      <w:pPr>
        <w:pStyle w:val="BodyText"/>
      </w:pPr>
      <w:r>
        <w:rPr>
          <w:bCs/>
          <w:b/>
        </w:rPr>
        <w:t xml:space="preserve">Prepared For:</w:t>
      </w:r>
      <w:r>
        <w:t xml:space="preserve"> </w:t>
      </w:r>
      <w:r>
        <w:t xml:space="preserve">Ophthalmology Service Providers, Healthcare Investors &amp; Strategic Partners</w:t>
      </w:r>
      <w:r>
        <w:br/>
      </w:r>
      <w:r>
        <w:rPr>
          <w:bCs/>
          <w:b/>
        </w:rPr>
        <w:t xml:space="preserve">Date:</w:t>
      </w:r>
      <w:r>
        <w:t xml:space="preserve"> </w:t>
      </w:r>
      <w:r>
        <w:t xml:space="preserve">October 26, 2023</w:t>
      </w:r>
      <w:r>
        <w:br/>
      </w:r>
      <w:r>
        <w:rPr>
          <w:bCs/>
          <w:b/>
        </w:rPr>
        <w:t xml:space="preserve">Region Covered:</w:t>
      </w:r>
      <w:r>
        <w:t xml:space="preserve"> </w:t>
      </w:r>
      <w:r>
        <w:t xml:space="preserve">Madrid Autonomous Community, Spain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Ophthalmology Sales Performance Report: Madrid, Spain</dc:title>
  <dc:creator/>
  <dc:language>en</dc:language>
  <cp:keywords/>
  <dcterms:created xsi:type="dcterms:W3CDTF">2026-07-21T15:23:08Z</dcterms:created>
  <dcterms:modified xsi:type="dcterms:W3CDTF">2026-07-21T15:23:08Z</dcterms:modified>
</cp:coreProperties>
</file>

<file path=docProps/custom.xml><?xml version="1.0" encoding="utf-8"?>
<Properties xmlns="http://schemas.openxmlformats.org/officeDocument/2006/custom-properties" xmlns:vt="http://schemas.openxmlformats.org/officeDocument/2006/docPropsVTypes"/>
</file>