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Ophthalmologist</w:t>
      </w:r>
      <w:r>
        <w:t xml:space="preserve"> </w:t>
      </w:r>
      <w:r>
        <w:t xml:space="preserve">Practice</w:t>
      </w:r>
      <w:r>
        <w:t xml:space="preserve"> </w:t>
      </w:r>
      <w:r>
        <w:t xml:space="preserve">in</w:t>
      </w:r>
      <w:r>
        <w:t xml:space="preserve"> </w:t>
      </w:r>
      <w:r>
        <w:t xml:space="preserve">Spain</w:t>
      </w:r>
      <w:r>
        <w:t xml:space="preserve"> </w:t>
      </w:r>
      <w:r>
        <w:t xml:space="preserve">Valencia</w:t>
      </w:r>
    </w:p>
    <w:bookmarkStart w:id="28" w:name="X202dfa421853d649b3c8f7fbb5ebbeaa3217035"/>
    <w:p>
      <w:pPr>
        <w:pStyle w:val="Heading1"/>
      </w:pPr>
      <w:r>
        <w:t xml:space="preserve">Comprehensive Sales Report: Ophthalmology Practice Performance Analysis - Spain Valencia Region</w:t>
      </w:r>
    </w:p>
    <w:bookmarkStart w:id="20" w:name="executive-summary"/>
    <w:p>
      <w:pPr>
        <w:pStyle w:val="Heading2"/>
      </w:pPr>
      <w:r>
        <w:t xml:space="preserve">Executive Summary</w:t>
      </w:r>
    </w:p>
    <w:p>
      <w:pPr>
        <w:pStyle w:val="FirstParagraph"/>
      </w:pPr>
      <w:r>
        <w:t xml:space="preserve">This Sales Report presents a detailed analysis of patient acquisition, service utilization, and revenue generation for ophthalmology practices operating within the Valencian Community of Spain. As healthcare demands in Spain Valencia escalate due to demographic shifts and technological advancements, this document serves as a critical strategic tool for ophthalmologists navigating the regional market. The report confirms that our practice has achieved 12% year-over-year growth in patient volume, surpassing regional averages by 4.3 percentage points through targeted service expansion and community engagement initiatives specifically designed for Valencia's unique healthcare landscape.</w:t>
      </w:r>
    </w:p>
    <w:bookmarkEnd w:id="20"/>
    <w:bookmarkStart w:id="21" w:name="Xc5abaadd1711a390f4546c0f3b6ce7b8d68783d"/>
    <w:p>
      <w:pPr>
        <w:pStyle w:val="Heading2"/>
      </w:pPr>
      <w:r>
        <w:t xml:space="preserve">Regional Market Context: Spain Valencia Ophthalmology Landscape</w:t>
      </w:r>
    </w:p>
    <w:p>
      <w:pPr>
        <w:pStyle w:val="FirstParagraph"/>
      </w:pPr>
      <w:r>
        <w:t xml:space="preserve">The Valencian Community (Spain) represents a high-potential market for ophthalmology services, with 5.3 million residents and an aging population exceeding 24%—significantly above the national average. According to the Valencian Health Department's 2023 epidemiological survey, age-related macular degeneration (AMD), cataracts, and diabetic retinopathy account for 78% of vision impairment cases in our region. This presents a critical opportunity for specialized ophthalmologists operating in Spain Valencia to address unmet healthcare needs while aligning with regional public health priorities.</w:t>
      </w:r>
    </w:p>
    <w:bookmarkEnd w:id="21"/>
    <w:bookmarkStart w:id="23" w:name="Xbf5a8499b301f0a4ef8d77b739b633aae40da25"/>
    <w:p>
      <w:pPr>
        <w:pStyle w:val="Heading2"/>
      </w:pPr>
      <w:r>
        <w:t xml:space="preserve">Performance Metrics: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Total Patient Visits (Spain Valencia)</w:t>
            </w:r>
          </w:p>
        </w:tc>
        <w:tc>
          <w:tcPr/>
          <w:p>
            <w:pPr>
              <w:pStyle w:val="Compact"/>
              <w:jc w:val="left"/>
            </w:pPr>
            <w:r>
              <w:t xml:space="preserve">4,850</w:t>
            </w:r>
          </w:p>
        </w:tc>
        <w:tc>
          <w:tcPr/>
          <w:p>
            <w:pPr>
              <w:pStyle w:val="Compact"/>
              <w:jc w:val="left"/>
            </w:pPr>
            <w:r>
              <w:t xml:space="preserve">5,430</w:t>
            </w:r>
          </w:p>
        </w:tc>
        <w:tc>
          <w:tcPr/>
          <w:p>
            <w:pPr>
              <w:pStyle w:val="Compact"/>
              <w:jc w:val="left"/>
            </w:pPr>
            <w:r>
              <w:t xml:space="preserve">+12.0%</w:t>
            </w:r>
          </w:p>
        </w:tc>
      </w:tr>
      <w:tr>
        <w:tc>
          <w:tcPr/>
          <w:p>
            <w:pPr>
              <w:pStyle w:val="Compact"/>
              <w:jc w:val="left"/>
            </w:pPr>
            <w:r>
              <w:t xml:space="preserve">Laser Vision Correction Procedures</w:t>
            </w:r>
          </w:p>
        </w:tc>
        <w:tc>
          <w:tcPr/>
          <w:p>
            <w:pPr>
              <w:pStyle w:val="Compact"/>
              <w:jc w:val="left"/>
            </w:pPr>
            <w:r>
              <w:t xml:space="preserve">128</w:t>
            </w:r>
          </w:p>
        </w:tc>
        <w:tc>
          <w:tcPr/>
          <w:p>
            <w:pPr>
              <w:pStyle w:val="Compact"/>
              <w:jc w:val="left"/>
            </w:pPr>
            <w:r>
              <w:t xml:space="preserve">167</w:t>
            </w:r>
          </w:p>
        </w:tc>
        <w:tc>
          <w:tcPr/>
          <w:p>
            <w:pPr>
              <w:pStyle w:val="Compact"/>
              <w:jc w:val="left"/>
            </w:pPr>
            <w:r>
              <w:t xml:space="preserve">+30.5%</w:t>
            </w:r>
          </w:p>
        </w:tc>
      </w:tr>
      <w:tr>
        <w:tc>
          <w:tcPr/>
          <w:p>
            <w:pPr>
              <w:pStyle w:val="Compact"/>
              <w:jc w:val="left"/>
            </w:pPr>
            <w:r>
              <w:t xml:space="preserve">Cataract Surgeries (Private Sector)</w:t>
            </w:r>
          </w:p>
        </w:tc>
        <w:tc>
          <w:tcPr/>
          <w:p>
            <w:pPr>
              <w:pStyle w:val="Compact"/>
              <w:jc w:val="left"/>
            </w:pPr>
            <w:r>
              <w:t xml:space="preserve">247</w:t>
            </w:r>
          </w:p>
        </w:tc>
        <w:tc>
          <w:tcPr/>
          <w:p>
            <w:pPr>
              <w:pStyle w:val="Compact"/>
              <w:jc w:val="left"/>
            </w:pPr>
            <w:r>
              <w:t xml:space="preserve">291</w:t>
            </w:r>
          </w:p>
        </w:tc>
        <w:tc>
          <w:tcPr/>
          <w:p>
            <w:pPr>
              <w:pStyle w:val="Compact"/>
              <w:jc w:val="left"/>
            </w:pPr>
            <w:r>
              <w:t xml:space="preserve">+17.8%</w:t>
            </w:r>
          </w:p>
        </w:tc>
      </w:tr>
      <w:tr>
        <w:tc>
          <w:tcPr/>
          <w:p>
            <w:pPr>
              <w:pStyle w:val="Compact"/>
              <w:jc w:val="left"/>
            </w:pPr>
            <w:r>
              <w:t xml:space="preserve">Avg. Revenue Per Patient (€)</w:t>
            </w:r>
          </w:p>
        </w:tc>
        <w:tc>
          <w:tcPr/>
          <w:p>
            <w:pPr>
              <w:pStyle w:val="Compact"/>
              <w:jc w:val="left"/>
            </w:pPr>
            <w:r>
              <w:t xml:space="preserve">345</w:t>
            </w:r>
          </w:p>
        </w:tc>
        <w:tc>
          <w:tcPr/>
          <w:p>
            <w:pPr>
              <w:pStyle w:val="Compact"/>
              <w:jc w:val="left"/>
            </w:pPr>
            <w:r>
              <w:t xml:space="preserve">362</w:t>
            </w:r>
          </w:p>
        </w:tc>
        <w:tc>
          <w:tcPr/>
          <w:p>
            <w:pPr>
              <w:pStyle w:val="Compact"/>
              <w:jc w:val="left"/>
            </w:pPr>
            <w:r>
              <w:t xml:space="preserve">+4.9%</w:t>
            </w:r>
          </w:p>
        </w:tc>
      </w:tr>
    </w:tbl>
    <w:bookmarkStart w:id="22" w:name="revenue-diversification-strategy-success"/>
    <w:p>
      <w:pPr>
        <w:pStyle w:val="Heading3"/>
      </w:pPr>
      <w:r>
        <w:t xml:space="preserve">Revenue Diversification Strategy Success</w:t>
      </w:r>
    </w:p>
    <w:p>
      <w:pPr>
        <w:pStyle w:val="FirstParagraph"/>
      </w:pPr>
      <w:r>
        <w:t xml:space="preserve">The sustained growth trajectory directly results from our strategic implementation of Valencia-specific service lines. Our practice successfully launched a dedicated diabetic retinopathy screening program in collaboration with Valencia's primary care centers (CAPs), capturing 18% of the region's high-risk patient population within six months. This initiative alone contributed €87,000 to quarterly revenue—a 32% increase over prior period. Additionally, we've expanded teleophthalmology services to rural Valencian municipalities (e.g., Elche and Gandia), reducing no-show rates by 23% through personalized SMS reminders adapted to local Valencian Spanish dialects.</w:t>
      </w:r>
    </w:p>
    <w:bookmarkEnd w:id="22"/>
    <w:bookmarkEnd w:id="23"/>
    <w:bookmarkStart w:id="24" w:name="X6c21aecf96189558bfa51dd02cf91019f12206f"/>
    <w:p>
      <w:pPr>
        <w:pStyle w:val="Heading2"/>
      </w:pPr>
      <w:r>
        <w:t xml:space="preserve">Competitive Differentiation: The Ophthalmologist Advantage</w:t>
      </w:r>
    </w:p>
    <w:p>
      <w:pPr>
        <w:pStyle w:val="FirstParagraph"/>
      </w:pPr>
      <w:r>
        <w:t xml:space="preserve">Spain Valencia's competitive ophthalmology market features three key differentiators for our practice:</w:t>
      </w:r>
    </w:p>
    <w:p>
      <w:pPr>
        <w:numPr>
          <w:ilvl w:val="0"/>
          <w:numId w:val="1001"/>
        </w:numPr>
        <w:pStyle w:val="Compact"/>
      </w:pPr>
      <w:r>
        <w:rPr>
          <w:bCs/>
          <w:b/>
        </w:rPr>
        <w:t xml:space="preserve">Cultural Competency:</w:t>
      </w:r>
      <w:r>
        <w:t xml:space="preserve"> </w:t>
      </w:r>
      <w:r>
        <w:t xml:space="preserve">Our Spanish-Valencian bilingual ophthalmologists (85% of clinical staff) provide consultations in Valencian language where requested, significantly improving patient trust metrics. Patient satisfaction scores reached 4.7/5 for linguistic accessibility—outperforming regional competitors by 28%.</w:t>
      </w:r>
    </w:p>
    <w:p>
      <w:pPr>
        <w:numPr>
          <w:ilvl w:val="0"/>
          <w:numId w:val="1001"/>
        </w:numPr>
        <w:pStyle w:val="Compact"/>
      </w:pPr>
      <w:r>
        <w:rPr>
          <w:bCs/>
          <w:b/>
        </w:rPr>
        <w:t xml:space="preserve">Technology Integration:</w:t>
      </w:r>
      <w:r>
        <w:t xml:space="preserve"> </w:t>
      </w:r>
      <w:r>
        <w:t xml:space="preserve">Investment in OCT (Optical Coherence Tomography) and AI-assisted retinal screening systems aligned with Valencia's Digital Health Strategy has reduced diagnostic wait times by 41%, positioning us as the preferred provider for time-sensitive cases.</w:t>
      </w:r>
    </w:p>
    <w:p>
      <w:pPr>
        <w:numPr>
          <w:ilvl w:val="0"/>
          <w:numId w:val="1001"/>
        </w:numPr>
        <w:pStyle w:val="Compact"/>
      </w:pPr>
      <w:r>
        <w:rPr>
          <w:bCs/>
          <w:b/>
        </w:rPr>
        <w:t xml:space="preserve">Community Partnerships:</w:t>
      </w:r>
      <w:r>
        <w:t xml:space="preserve"> </w:t>
      </w:r>
      <w:r>
        <w:t xml:space="preserve">Strategic alliances with Valencian schools (e.g., "Vision for All" program in Valencia City schools) and sports clubs (Valencia CF Foundation) have generated organic referrals, accounting for 37% of new patient acquisitions.</w:t>
      </w:r>
    </w:p>
    <w:bookmarkEnd w:id="24"/>
    <w:bookmarkStart w:id="25" w:name="challenges-and-opportunity-assessment"/>
    <w:p>
      <w:pPr>
        <w:pStyle w:val="Heading2"/>
      </w:pPr>
      <w:r>
        <w:t xml:space="preserve">Challenges and Opportunity Assessment</w:t>
      </w:r>
    </w:p>
    <w:p>
      <w:pPr>
        <w:pStyle w:val="FirstParagraph"/>
      </w:pPr>
      <w:r>
        <w:t xml:space="preserve">Despite strong performance, Spain Valencia's healthcare system presents unique constraints. The 2024 Valencian Health Budget allocated only €18M for ophthalmology—representing 3.7% of total regional health expenditure (below EU average). This forces private ophthalmologists to fill critical service gaps in public care. Our Sales Report identifies two priority opportunities:</w:t>
      </w:r>
    </w:p>
    <w:p>
      <w:pPr>
        <w:numPr>
          <w:ilvl w:val="0"/>
          <w:numId w:val="1002"/>
        </w:numPr>
        <w:pStyle w:val="Compact"/>
      </w:pPr>
      <w:r>
        <w:rPr>
          <w:bCs/>
          <w:b/>
        </w:rPr>
        <w:t xml:space="preserve">Preventive Care Expansion:</w:t>
      </w:r>
      <w:r>
        <w:t xml:space="preserve"> </w:t>
      </w:r>
      <w:r>
        <w:t xml:space="preserve">Developing low-cost vision screening packages for Valencia's elderly population (65+ years) through subsidized partnerships with local ayuntamientos (municipalities).</w:t>
      </w:r>
    </w:p>
    <w:p>
      <w:pPr>
        <w:numPr>
          <w:ilvl w:val="0"/>
          <w:numId w:val="1002"/>
        </w:numPr>
        <w:pStyle w:val="Compact"/>
      </w:pPr>
      <w:r>
        <w:rPr>
          <w:bCs/>
          <w:b/>
        </w:rPr>
        <w:t xml:space="preserve">Tech Adoption Acceleration:</w:t>
      </w:r>
      <w:r>
        <w:t xml:space="preserve"> </w:t>
      </w:r>
      <w:r>
        <w:t xml:space="preserve">Implementing portable diagnostic devices for Valencian rural health centers to capture underserved communities beyond urban Valencia.</w:t>
      </w:r>
    </w:p>
    <w:bookmarkEnd w:id="25"/>
    <w:bookmarkStart w:id="26" w:name="Xcb433198b1de0b6503634ca5dd014529912f2cd"/>
    <w:p>
      <w:pPr>
        <w:pStyle w:val="Heading2"/>
      </w:pPr>
      <w:r>
        <w:t xml:space="preserve">Strategic Recommendations for Ophthalmologist Practices in Spain Valencia</w:t>
      </w:r>
    </w:p>
    <w:p>
      <w:pPr>
        <w:pStyle w:val="FirstParagraph"/>
      </w:pPr>
      <w:r>
        <w:t xml:space="preserve">This Sales Report recommends the following evidence-based actions for ophthalmologists operating in Spain Valencia:</w:t>
      </w:r>
    </w:p>
    <w:p>
      <w:pPr>
        <w:numPr>
          <w:ilvl w:val="0"/>
          <w:numId w:val="1003"/>
        </w:numPr>
        <w:pStyle w:val="Compact"/>
      </w:pPr>
      <w:r>
        <w:rPr>
          <w:bCs/>
          <w:b/>
        </w:rPr>
        <w:t xml:space="preserve">Embrace Hybrid Care Models:</w:t>
      </w:r>
      <w:r>
        <w:t xml:space="preserve"> </w:t>
      </w:r>
      <w:r>
        <w:t xml:space="preserve">Develop integrated public-private service delivery channels (e.g., co-managing diabetic retinopathy cases with Valencian public hospitals) to leverage regional healthcare infrastructure while expanding private revenue streams.</w:t>
      </w:r>
    </w:p>
    <w:p>
      <w:pPr>
        <w:numPr>
          <w:ilvl w:val="0"/>
          <w:numId w:val="1003"/>
        </w:numPr>
        <w:pStyle w:val="Compact"/>
      </w:pPr>
      <w:r>
        <w:rPr>
          <w:bCs/>
          <w:b/>
        </w:rPr>
        <w:t xml:space="preserve">Leverage Regional Health Data:</w:t>
      </w:r>
      <w:r>
        <w:t xml:space="preserve"> </w:t>
      </w:r>
      <w:r>
        <w:t xml:space="preserve">Utilize the Valencian Health Information System (SIV) data on vision impairment hotspots to strategically place mobile screening units in high-need areas like Elche and La Vall d'Uxó.</w:t>
      </w:r>
    </w:p>
    <w:p>
      <w:pPr>
        <w:numPr>
          <w:ilvl w:val="0"/>
          <w:numId w:val="1003"/>
        </w:numPr>
        <w:pStyle w:val="Compact"/>
      </w:pPr>
      <w:r>
        <w:rPr>
          <w:bCs/>
          <w:b/>
        </w:rPr>
        <w:t xml:space="preserve">Cultural Marketing Localization:</w:t>
      </w:r>
      <w:r>
        <w:t xml:space="preserve"> </w:t>
      </w:r>
      <w:r>
        <w:t xml:space="preserve">Create region-specific patient education materials using Valencian cultural references (e.g., "Vision Preservation for Valencia's Olive Harvesters" campaign) to increase community resonance.</w:t>
      </w:r>
    </w:p>
    <w:p>
      <w:pPr>
        <w:numPr>
          <w:ilvl w:val="0"/>
          <w:numId w:val="1003"/>
        </w:numPr>
        <w:pStyle w:val="Compact"/>
      </w:pPr>
      <w:r>
        <w:rPr>
          <w:bCs/>
          <w:b/>
        </w:rPr>
        <w:t xml:space="preserve">Insurance Partnership Development:</w:t>
      </w:r>
      <w:r>
        <w:t xml:space="preserve"> </w:t>
      </w:r>
      <w:r>
        <w:t xml:space="preserve">Secure contracts with Valencia-based mutual insurance companies (e.g., Asefa, Salud+), which cover 62% of Valencian residents, to streamline billing and expand patient access.</w:t>
      </w:r>
    </w:p>
    <w:bookmarkEnd w:id="26"/>
    <w:bookmarkStart w:id="27" w:name="Xce342f4970f0b45c0429c5843fcd4fedb5aa2bc"/>
    <w:p>
      <w:pPr>
        <w:pStyle w:val="Heading2"/>
      </w:pPr>
      <w:r>
        <w:t xml:space="preserve">Conclusion: Sustaining Growth as Ophthalmologists in Spain Valencia</w:t>
      </w:r>
    </w:p>
    <w:p>
      <w:pPr>
        <w:pStyle w:val="FirstParagraph"/>
      </w:pPr>
      <w:r>
        <w:t xml:space="preserve">This comprehensive Sales Report confirms that ophthalmologists in Spain Valencia who prioritize cultural responsiveness, technology adoption, and community integration will achieve superior market positioning. The 12% growth trajectory demonstrates that our practice has successfully navigated the region's unique healthcare ecosystem—where demographic pressures (65+ population growing at 3.8% annually) intersect with public healthcare limitations.</w:t>
      </w:r>
    </w:p>
    <w:p>
      <w:pPr>
        <w:pStyle w:val="BodyText"/>
      </w:pPr>
      <w:r>
        <w:t xml:space="preserve">As Spain Valencia evolves toward its 2030 Vision Health Strategy, ophthalmologists who embed themselves within the Valencian social fabric—not just as medical providers but as community health partners—will dominate this high-growth specialty. We project 18% revenue growth for Q4 2024 through our ongoing implementation of these region-specific strategies. The data is unequivocal: in Spain Valencia, ophthalmologists who understand local context outperform those relying on generic national models.</w:t>
      </w:r>
    </w:p>
    <w:p>
      <w:pPr>
        <w:pStyle w:val="BodyText"/>
      </w:pPr>
      <w:r>
        <w:t xml:space="preserve">For forward-thinking ophthalmologists operating in Spain Valencia, this Sales Report serves as both a performance benchmark and a roadmap for sustainable growth within the Valencian Community's dynamic healthcare market. The future of eye care in our region belongs to those who speak the language of Valencia—not just Spanish—but also the language of community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Ophthalmologist Practice in Spain Valencia</dc:title>
  <dc:creator/>
  <dc:language>en</dc:language>
  <cp:keywords/>
  <dcterms:created xsi:type="dcterms:W3CDTF">2026-07-23T09:15:14Z</dcterms:created>
  <dcterms:modified xsi:type="dcterms:W3CDTF">2026-07-23T09:15:14Z</dcterms:modified>
</cp:coreProperties>
</file>

<file path=docProps/custom.xml><?xml version="1.0" encoding="utf-8"?>
<Properties xmlns="http://schemas.openxmlformats.org/officeDocument/2006/custom-properties" xmlns:vt="http://schemas.openxmlformats.org/officeDocument/2006/docPropsVTypes"/>
</file>