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Analysis</w:t>
      </w:r>
    </w:p>
    <w:bookmarkStart w:id="27" w:name="Xadbd163837a18838432f3a4b6d1acfe5b014226"/>
    <w:p>
      <w:pPr>
        <w:pStyle w:val="Heading1"/>
      </w:pPr>
      <w:r>
        <w:t xml:space="preserve">Comprehensive Ophthalmologist Sales Performance Report: Thailand Bangkok Market (Q3 2023)</w:t>
      </w:r>
    </w:p>
    <w:bookmarkStart w:id="20" w:name="executive-summary"/>
    <w:p>
      <w:pPr>
        <w:pStyle w:val="Heading2"/>
      </w:pPr>
      <w:r>
        <w:t xml:space="preserve">Executive Summary</w:t>
      </w:r>
    </w:p>
    <w:p>
      <w:pPr>
        <w:pStyle w:val="FirstParagraph"/>
      </w:pPr>
      <w:r>
        <w:t xml:space="preserve">This official Sales Report details the performance metrics, market dynamics, and strategic opportunities for ophthalmology services within Thailand's bustling metropolitan center—Bangkok. As one of Southeast Asia's leading medical tourism hubs, Bangkok hosts over 50 specialized eye care clinics with annual revenues exceeding $150 million. This quarterly analysis demonstrates that our ophthalmologist practice achieved a 12% year-over-year growth in patient volume (reaching 3,850 patients), significantly outperforming the regional average of 7%. The report underscores how strategic localization to Bangkok's unique demographics and healthcare infrastructure has driven this success, reinforcing the critical importance of hyperlocal market understanding for every ophthalmologist operating in Thailand.</w:t>
      </w:r>
    </w:p>
    <w:bookmarkEnd w:id="20"/>
    <w:bookmarkStart w:id="21" w:name="X9df39d7de7fc041f97dbcc92f132c91eab5067d"/>
    <w:p>
      <w:pPr>
        <w:pStyle w:val="Heading2"/>
      </w:pPr>
      <w:r>
        <w:t xml:space="preserve">Market Context: Bangkok's Ophthalmology Landscape</w:t>
      </w:r>
    </w:p>
    <w:p>
      <w:pPr>
        <w:pStyle w:val="FirstParagraph"/>
      </w:pPr>
      <w:r>
        <w:t xml:space="preserve">Bangkok's eye care sector presents distinct characteristics that directly impact sales performance. With a population of 11 million and a rapidly aging demographic (15% aged 60+), cataract surgery and diabetic retinopathy treatments dominate service demand. Our Sales Report reveals that Bangkok patients demonstrate higher willingness to pay for premium services—34% seek private consultations versus the national average of 22%. Crucially, this market is highly competitive; the top 10 ophthalmologist clinics in Thailand Bangkok collectively hold 68% market share. Key differentiators include technological adoption (e.g., femtosecond lasers), multilingual staff, and seamless medical tourism packages—factors we've strategically prioritized.</w:t>
      </w:r>
    </w:p>
    <w:bookmarkEnd w:id="21"/>
    <w:bookmarkStart w:id="22" w:name="quarterly-sales-performance-breakdown"/>
    <w:p>
      <w:pPr>
        <w:pStyle w:val="Heading2"/>
      </w:pPr>
      <w:r>
        <w:t xml:space="preserve">Quarterly Sales Performance Breakdown</w:t>
      </w:r>
    </w:p>
    <w:p>
      <w:pPr>
        <w:pStyle w:val="FirstParagraph"/>
      </w:pPr>
      <w:r>
        <w:t xml:space="preserve">Our Bangkok-based ophthalmologist practice recorded the following key metrics during Q3 2023:</w:t>
      </w:r>
    </w:p>
    <w:p>
      <w:pPr>
        <w:pStyle w:val="BodyText"/>
      </w:pPr>
      <w:r>
        <w:rPr>
          <w:bCs/>
          <w:b/>
        </w:rPr>
        <w:t xml:space="preserve">Patient Volume:</w:t>
      </w:r>
      <w:r>
        <w:t xml:space="preserve"> </w:t>
      </w:r>
      <w:r>
        <w:t xml:space="preserve">3,850 (14% increase from Q2) – driven by targeted promotions for diabetic eye screening during Thailand's National Diabetes Month</w:t>
      </w:r>
    </w:p>
    <w:p>
      <w:pPr>
        <w:pStyle w:val="BodyText"/>
      </w:pPr>
      <w:r>
        <w:rPr>
          <w:bCs/>
          <w:b/>
        </w:rPr>
        <w:t xml:space="preserve">Average Revenue Per Patient (ARPP):</w:t>
      </w:r>
      <w:r>
        <w:t xml:space="preserve"> </w:t>
      </w:r>
      <w:r>
        <w:t xml:space="preserve">$287.50 (18% above Bangkok benchmark of $243)</w:t>
      </w:r>
    </w:p>
    <w:p>
      <w:pPr>
        <w:pStyle w:val="BodyText"/>
      </w:pPr>
      <w:r>
        <w:rPr>
          <w:bCs/>
          <w:b/>
        </w:rPr>
        <w:t xml:space="preserve">Service Mix:</w:t>
      </w:r>
    </w:p>
    <w:p>
      <w:pPr>
        <w:numPr>
          <w:ilvl w:val="0"/>
          <w:numId w:val="1001"/>
        </w:numPr>
        <w:pStyle w:val="Compact"/>
      </w:pPr>
      <w:r>
        <w:t xml:space="preserve">Cataract Surgery: 42% of revenue ($1,095,600)</w:t>
      </w:r>
    </w:p>
    <w:p>
      <w:pPr>
        <w:numPr>
          <w:ilvl w:val="0"/>
          <w:numId w:val="1001"/>
        </w:numPr>
        <w:pStyle w:val="Compact"/>
      </w:pPr>
      <w:r>
        <w:t xml:space="preserve">Digital Retinal Screening: 28% ($718,300)</w:t>
      </w:r>
    </w:p>
    <w:p>
      <w:pPr>
        <w:numPr>
          <w:ilvl w:val="0"/>
          <w:numId w:val="1001"/>
        </w:numPr>
        <w:pStyle w:val="Compact"/>
      </w:pPr>
      <w:r>
        <w:t xml:space="preserve">Laser Vision Correction (LASIK): 19% ($495,750)</w:t>
      </w:r>
    </w:p>
    <w:p>
      <w:pPr>
        <w:numPr>
          <w:ilvl w:val="0"/>
          <w:numId w:val="1001"/>
        </w:numPr>
        <w:pStyle w:val="Compact"/>
      </w:pPr>
      <w:r>
        <w:t xml:space="preserve">Glaucoma Management: 11% ($284,650)</w:t>
      </w:r>
    </w:p>
    <w:p>
      <w:pPr>
        <w:pStyle w:val="FirstParagraph"/>
      </w:pPr>
      <w:r>
        <w:t xml:space="preserve">Notably, our premium LASIK package (including post-op care and accommodation for out-of-town patients) achieved 22% market penetration in Bangkok's luxury eye care segment—surpassing competitors by 9 percentage points. This success stems from our ophthalmologist team's certification in cutting-edge femtosecond technology and partnerships with Bangkok luxury hotels for medical tourism bundles.</w:t>
      </w:r>
    </w:p>
    <w:bookmarkEnd w:id="22"/>
    <w:bookmarkStart w:id="23" w:name="X0e2236c1ae3ef60da537153502b6412ffa80b08"/>
    <w:p>
      <w:pPr>
        <w:pStyle w:val="Heading2"/>
      </w:pPr>
      <w:r>
        <w:t xml:space="preserve">Competitive Analysis: Thailand Bangkok Differentiation</w:t>
      </w:r>
    </w:p>
    <w:p>
      <w:pPr>
        <w:pStyle w:val="FirstParagraph"/>
      </w:pPr>
      <w:r>
        <w:t xml:space="preserve">Our Sales Report identifies three critical competitive advantages in the Thailand Bangkok market:</w:t>
      </w:r>
    </w:p>
    <w:p>
      <w:pPr>
        <w:numPr>
          <w:ilvl w:val="0"/>
          <w:numId w:val="1002"/>
        </w:numPr>
        <w:pStyle w:val="Compact"/>
      </w:pPr>
      <w:r>
        <w:rPr>
          <w:bCs/>
          <w:b/>
        </w:rPr>
        <w:t xml:space="preserve">Cultural Intelligence:</w:t>
      </w:r>
      <w:r>
        <w:t xml:space="preserve"> </w:t>
      </w:r>
      <w:r>
        <w:t xml:space="preserve">Our bilingual (Thai/English) ophthalmologist staff reduced patient no-show rates by 31% through culturally tailored communication—crucial in a market where 65% of premium patients are international travelers.</w:t>
      </w:r>
    </w:p>
    <w:p>
      <w:pPr>
        <w:numPr>
          <w:ilvl w:val="0"/>
          <w:numId w:val="1002"/>
        </w:numPr>
        <w:pStyle w:val="Compact"/>
      </w:pPr>
      <w:r>
        <w:rPr>
          <w:bCs/>
          <w:b/>
        </w:rPr>
        <w:t xml:space="preserve">Technology Adoption:</w:t>
      </w:r>
      <w:r>
        <w:t xml:space="preserve"> </w:t>
      </w:r>
      <w:r>
        <w:t xml:space="preserve">Implementing AI-powered OCT scans (30% faster results than regional averages) shortened consultation times by 40%, directly boosting daily patient capacity in our Bangkok clinic.</w:t>
      </w:r>
    </w:p>
    <w:p>
      <w:pPr>
        <w:numPr>
          <w:ilvl w:val="0"/>
          <w:numId w:val="1002"/>
        </w:numPr>
        <w:pStyle w:val="Compact"/>
      </w:pPr>
      <w:r>
        <w:rPr>
          <w:bCs/>
          <w:b/>
        </w:rPr>
        <w:t xml:space="preserve">Medical Tourism Integration:</w:t>
      </w:r>
      <w:r>
        <w:t xml:space="preserve"> </w:t>
      </w:r>
      <w:r>
        <w:t xml:space="preserve">Partnering with Bangkok's top travel agencies for "Eye Care + Luxury Stay" packages increased international patient revenue by 27% YoY—directly addressing Thailand's status as Asia's #1 medical tourism destination.</w:t>
      </w:r>
    </w:p>
    <w:bookmarkEnd w:id="23"/>
    <w:bookmarkStart w:id="24" w:name="challenges-strategic-solutions"/>
    <w:p>
      <w:pPr>
        <w:pStyle w:val="Heading2"/>
      </w:pPr>
      <w:r>
        <w:t xml:space="preserve">Challenges &amp; Strategic Solutions</w:t>
      </w:r>
    </w:p>
    <w:p>
      <w:pPr>
        <w:pStyle w:val="FirstParagraph"/>
      </w:pPr>
      <w:r>
        <w:t xml:space="preserve">Despite strong performance, our Bangkok ophthalmologist practice faces localized challenges requiring immediate action:</w:t>
      </w:r>
    </w:p>
    <w:p>
      <w:pPr>
        <w:numPr>
          <w:ilvl w:val="0"/>
          <w:numId w:val="1003"/>
        </w:numPr>
        <w:pStyle w:val="Compact"/>
      </w:pPr>
      <w:r>
        <w:rPr>
          <w:bCs/>
          <w:b/>
        </w:rPr>
        <w:t xml:space="preserve">Insurance Coverage Gaps:</w:t>
      </w:r>
      <w:r>
        <w:t xml:space="preserve"> </w:t>
      </w:r>
      <w:r>
        <w:t xml:space="preserve">Only 47% of Bangkok patients have comprehensive eye care coverage (vs. 68% for general health). *Our Solution:* Launched "Thailand Vision Care" partnership with Bualuang Insurance—offering subsidized annual screenings targeting Bangkok's middle-class workforce.</w:t>
      </w:r>
    </w:p>
    <w:p>
      <w:pPr>
        <w:numPr>
          <w:ilvl w:val="0"/>
          <w:numId w:val="1003"/>
        </w:numPr>
        <w:pStyle w:val="Compact"/>
      </w:pPr>
      <w:r>
        <w:rPr>
          <w:bCs/>
          <w:b/>
        </w:rPr>
        <w:t xml:space="preserve">Competition in Tier-1 Areas:</w:t>
      </w:r>
      <w:r>
        <w:t xml:space="preserve"> </w:t>
      </w:r>
      <w:r>
        <w:t xml:space="preserve">High saturation in Siam Square and Sukhumvit districts. *Our Solution:* Focused on underserved Eastern Bangkok (Prawet, Samutprakan) with mobile screening units—capturing 18% of new patients from these areas.</w:t>
      </w:r>
    </w:p>
    <w:p>
      <w:pPr>
        <w:numPr>
          <w:ilvl w:val="0"/>
          <w:numId w:val="1003"/>
        </w:numPr>
        <w:pStyle w:val="Compact"/>
      </w:pPr>
      <w:r>
        <w:rPr>
          <w:bCs/>
          <w:b/>
        </w:rPr>
        <w:t xml:space="preserve">Technology Integration:</w:t>
      </w:r>
      <w:r>
        <w:t xml:space="preserve"> </w:t>
      </w:r>
      <w:r>
        <w:t xml:space="preserve">Legacy EHR systems delayed patient scheduling. *Our Solution:* Implemented Thailand-specific cloud-based practice management software with Thai language support, reducing admin time by 25%.</w:t>
      </w:r>
    </w:p>
    <w:bookmarkEnd w:id="24"/>
    <w:bookmarkStart w:id="25" w:name="X1849994b0b27c4625cd28543c250aa0d0571a23"/>
    <w:p>
      <w:pPr>
        <w:pStyle w:val="Heading2"/>
      </w:pPr>
      <w:r>
        <w:t xml:space="preserve">Growth Strategy: Future-Proofing Bangkok Ophthalmology Services</w:t>
      </w:r>
    </w:p>
    <w:p>
      <w:pPr>
        <w:pStyle w:val="FirstParagraph"/>
      </w:pPr>
      <w:r>
        <w:t xml:space="preserve">Based on this Sales Report, we recommend three priority initiatives for our ophthalmologist practice in Thailand Bangkok:</w:t>
      </w:r>
    </w:p>
    <w:p>
      <w:pPr>
        <w:numPr>
          <w:ilvl w:val="0"/>
          <w:numId w:val="1004"/>
        </w:numPr>
        <w:pStyle w:val="Compact"/>
      </w:pPr>
      <w:r>
        <w:rPr>
          <w:bCs/>
          <w:b/>
        </w:rPr>
        <w:t xml:space="preserve">AI-Powered Early Detection Network:</w:t>
      </w:r>
      <w:r>
        <w:t xml:space="preserve"> </w:t>
      </w:r>
      <w:r>
        <w:t xml:space="preserve">Deploy AI analytics to identify at-risk diabetes patients via existing primary care partnerships—targeting 5,000 annual screenings by Q2 2024. This leverages Bangkok's high diabetes prevalence (16% adult rate) for scalable revenue.</w:t>
      </w:r>
    </w:p>
    <w:p>
      <w:pPr>
        <w:numPr>
          <w:ilvl w:val="0"/>
          <w:numId w:val="1004"/>
        </w:numPr>
        <w:pStyle w:val="Compact"/>
      </w:pPr>
      <w:r>
        <w:rPr>
          <w:bCs/>
          <w:b/>
        </w:rPr>
        <w:t xml:space="preserve">Corporate Wellness Partnerships:</w:t>
      </w:r>
      <w:r>
        <w:t xml:space="preserve"> </w:t>
      </w:r>
      <w:r>
        <w:t xml:space="preserve">Forge agreements with Bangkok tech giants (e.g., True Corporation, SCB) for employee eye health programs—projected to generate $120K in annual contracts by end-2024.</w:t>
      </w:r>
    </w:p>
    <w:p>
      <w:pPr>
        <w:numPr>
          <w:ilvl w:val="0"/>
          <w:numId w:val="1004"/>
        </w:numPr>
        <w:pStyle w:val="Compact"/>
      </w:pPr>
      <w:r>
        <w:rPr>
          <w:bCs/>
          <w:b/>
        </w:rPr>
        <w:t xml:space="preserve">Training Hub Expansion:</w:t>
      </w:r>
      <w:r>
        <w:t xml:space="preserve"> </w:t>
      </w:r>
      <w:r>
        <w:t xml:space="preserve">Establish Bangkok's first certified ophthalmology training center for ASEAN practitioners, positioning our clinic as a knowledge hub. This aligns with Thailand's "Medical Tourism 4.0" national strategy and creates recurring revenue streams.</w:t>
      </w:r>
    </w:p>
    <w:bookmarkEnd w:id="25"/>
    <w:bookmarkStart w:id="26" w:name="X2cc919e599bde5437a081d5f5f1496725063aa2"/>
    <w:p>
      <w:pPr>
        <w:pStyle w:val="Heading2"/>
      </w:pPr>
      <w:r>
        <w:t xml:space="preserve">Conclusion: The Future of Ophthalmologist Success in Thailand Bangkok</w:t>
      </w:r>
    </w:p>
    <w:p>
      <w:pPr>
        <w:pStyle w:val="FirstParagraph"/>
      </w:pPr>
      <w:r>
        <w:t xml:space="preserve">This comprehensive Sales Report confirms that sustainable growth for any ophthalmologist in Thailand Bangkok hinges on three pillars: cultural fluency, technology agility, and medical tourism integration. Our practice's 12% YoY revenue growth—surpassing the sector average—proves this model works. As Thailand's eye care market expands at 9.7% annually (Thailand Medical Tourism Association), our strategic focus on Bangkok's unique demands (aging population, luxury tourism, insurance gaps) has positioned us as a market leader.</w:t>
      </w:r>
    </w:p>
    <w:p>
      <w:pPr>
        <w:pStyle w:val="BodyText"/>
      </w:pPr>
      <w:r>
        <w:t xml:space="preserve">Crucially, the success demonstrated here underscores that no generic sales approach works for ophthalmologists in Thailand Bangkok. Every marketing initiative must reflect local nuances—from language preferences to insurance frameworks—making this Sales Report an essential blueprint for all ophthalmologist practices seeking profitability in Southeast Asia's most dynamic medical market. We project 15% revenue growth in Q4 2023, driven by the new corporate wellness partnerships and AI screening network, solidifying our position as Bangkok's premier ophthalmology destination.</w:t>
      </w:r>
    </w:p>
    <w:p>
      <w:pPr>
        <w:pStyle w:val="BodyText"/>
      </w:pPr>
      <w:r>
        <w:rPr>
          <w:bCs/>
          <w:b/>
        </w:rPr>
        <w:t xml:space="preserve">Prepared for:</w:t>
      </w:r>
      <w:r>
        <w:t xml:space="preserve"> </w:t>
      </w:r>
      <w:r>
        <w:t xml:space="preserve">Thailand Medical Board |</w:t>
      </w:r>
      <w:r>
        <w:t xml:space="preserve"> </w:t>
      </w:r>
      <w:r>
        <w:rPr>
          <w:bCs/>
          <w:b/>
        </w:rPr>
        <w:t xml:space="preserve">Date:</w:t>
      </w:r>
      <w:r>
        <w:t xml:space="preserve"> </w:t>
      </w:r>
      <w:r>
        <w:t xml:space="preserve">October 15, 2023 |</w:t>
      </w:r>
      <w:r>
        <w:t xml:space="preserve"> </w:t>
      </w:r>
      <w:r>
        <w:rPr>
          <w:bCs/>
          <w:b/>
        </w:rPr>
        <w:t xml:space="preserve">Prepared By:</w:t>
      </w:r>
      <w:r>
        <w:t xml:space="preserve"> </w:t>
      </w:r>
      <w:r>
        <w:t xml:space="preserve">Global Ophthalmology Strategy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Thailand Bangkok Market Analysis</dc:title>
  <dc:creator/>
  <dc:language>en</dc:language>
  <cp:keywords/>
  <dcterms:created xsi:type="dcterms:W3CDTF">2026-07-23T14:50:38Z</dcterms:created>
  <dcterms:modified xsi:type="dcterms:W3CDTF">2026-07-23T14:50:38Z</dcterms:modified>
</cp:coreProperties>
</file>

<file path=docProps/custom.xml><?xml version="1.0" encoding="utf-8"?>
<Properties xmlns="http://schemas.openxmlformats.org/officeDocument/2006/custom-properties" xmlns:vt="http://schemas.openxmlformats.org/officeDocument/2006/docPropsVTypes"/>
</file>