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w:t>
      </w:r>
      <w:r>
        <w:t xml:space="preserve"> </w:t>
      </w:r>
      <w:r>
        <w:t xml:space="preserve">Istanbul,</w:t>
      </w:r>
      <w:r>
        <w:t xml:space="preserve"> </w:t>
      </w:r>
      <w:r>
        <w:t xml:space="preserve">Turkey</w:t>
      </w:r>
    </w:p>
    <w:bookmarkStart w:id="28" w:name="X5132543f37fb2bc94e2ec3429efa924392cd8ce"/>
    <w:p>
      <w:pPr>
        <w:pStyle w:val="Heading1"/>
      </w:pPr>
      <w:r>
        <w:t xml:space="preserve">Annual Sales Report: Ophthalmology Services Performance Analysis for Istanbul, Turkey Market</w:t>
      </w:r>
    </w:p>
    <w:bookmarkStart w:id="20" w:name="executive-summary"/>
    <w:p>
      <w:pPr>
        <w:pStyle w:val="Heading2"/>
      </w:pPr>
      <w:r>
        <w:t xml:space="preserve">Executive Summary</w:t>
      </w:r>
    </w:p>
    <w:p>
      <w:pPr>
        <w:pStyle w:val="FirstParagraph"/>
      </w:pPr>
      <w:r>
        <w:t xml:space="preserve">This comprehensive sales report details the performance of ophthalmological services across major clinics in Istanbul, Turkey during the fiscal year 2023. The analysis reveals significant growth in eye care demand driven by urbanization, aging demographics, and increased health awareness among Turkey's population. Istanbul continues to dominate as the largest market for ophthalmology services in Turkey, accounting for 37% of all nationwide sales with a compound annual growth rate (CAGR) of 12.4% over the past three years. This report examines key performance indicators, competitive positioning, and strategic opportunities specifically tailored to the Istanbul healthcare landscape.</w:t>
      </w:r>
    </w:p>
    <w:bookmarkEnd w:id="20"/>
    <w:bookmarkStart w:id="21" w:name="market-performance-overview"/>
    <w:p>
      <w:pPr>
        <w:pStyle w:val="Heading2"/>
      </w:pPr>
      <w:r>
        <w:t xml:space="preserve">Market Performance Overview</w:t>
      </w:r>
    </w:p>
    <w:p>
      <w:pPr>
        <w:pStyle w:val="FirstParagraph"/>
      </w:pPr>
      <w:r>
        <w:t xml:space="preserve">The ophthalmology services sector in Istanbul demonstrated robust financial performance with total sales reaching ₺148 million ($15.6 million) in 2023, representing a 15.7% year-on-year increase from ₺128 million the previous year. This growth significantly outperforms Turkey's overall healthcare sector average of 9.3%. Key drivers include:</w:t>
      </w:r>
    </w:p>
    <w:p>
      <w:pPr>
        <w:numPr>
          <w:ilvl w:val="0"/>
          <w:numId w:val="1001"/>
        </w:numPr>
        <w:pStyle w:val="Compact"/>
      </w:pPr>
      <w:r>
        <w:rPr>
          <w:bCs/>
          <w:b/>
        </w:rPr>
        <w:t xml:space="preserve">Advanced Cataract Surgeries:</w:t>
      </w:r>
      <w:r>
        <w:t xml:space="preserve"> </w:t>
      </w:r>
      <w:r>
        <w:t xml:space="preserve">Accounted for 42% of total revenue (₺62.1 million), reflecting the aging population with Istanbul's over-65 demographic growing at 3.8% annually</w:t>
      </w:r>
    </w:p>
    <w:p>
      <w:pPr>
        <w:numPr>
          <w:ilvl w:val="0"/>
          <w:numId w:val="1001"/>
        </w:numPr>
        <w:pStyle w:val="Compact"/>
      </w:pPr>
      <w:r>
        <w:rPr>
          <w:bCs/>
          <w:b/>
        </w:rPr>
        <w:t xml:space="preserve">Laser Vision Correction:</w:t>
      </w:r>
      <w:r>
        <w:t xml:space="preserve"> </w:t>
      </w:r>
      <w:r>
        <w:t xml:space="preserve">Showed highest growth at 28.3%, driven by rising middle-class demand for premium vision solutions</w:t>
      </w:r>
    </w:p>
    <w:p>
      <w:pPr>
        <w:numPr>
          <w:ilvl w:val="0"/>
          <w:numId w:val="1001"/>
        </w:numPr>
        <w:pStyle w:val="Compact"/>
      </w:pPr>
      <w:r>
        <w:rPr>
          <w:bCs/>
          <w:b/>
        </w:rPr>
        <w:t xml:space="preserve">Retinal Disease Management:</w:t>
      </w:r>
      <w:r>
        <w:t xml:space="preserve"> </w:t>
      </w:r>
      <w:r>
        <w:t xml:space="preserve">Increased by 19.6% due to improved diagnostic infrastructure in Istanbul clinics</w:t>
      </w:r>
    </w:p>
    <w:bookmarkEnd w:id="21"/>
    <w:bookmarkStart w:id="22" w:name="istanbul-specific-market-dynamics"/>
    <w:p>
      <w:pPr>
        <w:pStyle w:val="Heading2"/>
      </w:pPr>
      <w:r>
        <w:t xml:space="preserve">Istanbul-Specific Market Dynamics</w:t>
      </w:r>
    </w:p>
    <w:p>
      <w:pPr>
        <w:pStyle w:val="FirstParagraph"/>
      </w:pPr>
      <w:r>
        <w:t xml:space="preserve">Turkey's largest metropolis presents unique sales opportunities and challenges for ophthalmologists. With 15.5 million residents (38% of Turkey's urban population), Istanbul exhibits higher disposable income levels than national averages, enabling premium service adoption. Our analysis shows that:</w:t>
      </w:r>
    </w:p>
    <w:p>
      <w:pPr>
        <w:numPr>
          <w:ilvl w:val="0"/>
          <w:numId w:val="1002"/>
        </w:numPr>
        <w:pStyle w:val="Compact"/>
      </w:pPr>
      <w:r>
        <w:t xml:space="preserve">76% of ophthalmology patients in Istanbul are from the top three socioeconomic brackets (A/C1), with 53% willing to pay 25-40% above standard rates for advanced technology</w:t>
      </w:r>
    </w:p>
    <w:p>
      <w:pPr>
        <w:numPr>
          <w:ilvl w:val="0"/>
          <w:numId w:val="1002"/>
        </w:numPr>
        <w:pStyle w:val="Compact"/>
      </w:pPr>
      <w:r>
        <w:t xml:space="preserve">Urbanization trends have created a 22.7% increase in age-related eye conditions among Istanbul's working-age population (35-64 years)</w:t>
      </w:r>
    </w:p>
    <w:p>
      <w:pPr>
        <w:numPr>
          <w:ilvl w:val="0"/>
          <w:numId w:val="1002"/>
        </w:numPr>
        <w:pStyle w:val="Compact"/>
      </w:pPr>
      <w:r>
        <w:t xml:space="preserve">Health tourism contributes significantly, with international patients accounting for 18.3% of high-margin procedures (primarily from GCC countries and Russia)</w:t>
      </w:r>
    </w:p>
    <w:bookmarkEnd w:id="22"/>
    <w:bookmarkStart w:id="23" w:name="competitive-positioning-analysis"/>
    <w:p>
      <w:pPr>
        <w:pStyle w:val="Heading2"/>
      </w:pPr>
      <w:r>
        <w:t xml:space="preserve">Competitive Positioning Analysis</w:t>
      </w:r>
    </w:p>
    <w:p>
      <w:pPr>
        <w:pStyle w:val="FirstParagraph"/>
      </w:pPr>
      <w:r>
        <w:t xml:space="preserve">The Istanbul ophthalmology market features three distinct competitive segments:</w:t>
      </w:r>
    </w:p>
    <w:p>
      <w:pPr>
        <w:pStyle w:val="BodyText"/>
      </w:pPr>
      <w:r>
        <w:t xml:space="preserve">Market Segment</w:t>
      </w:r>
    </w:p>
    <w:p>
      <w:pPr>
        <w:pStyle w:val="BodyText"/>
      </w:pPr>
      <w:r>
        <w:t xml:space="preserve">Key Players</w:t>
      </w:r>
    </w:p>
    <w:p>
      <w:pPr>
        <w:pStyle w:val="BodyText"/>
      </w:pPr>
      <w:r>
        <w:t xml:space="preserve">Average Service Price (₺)</w:t>
      </w:r>
    </w:p>
    <w:p>
      <w:pPr>
        <w:pStyle w:val="BodyText"/>
      </w:pPr>
      <w:r>
        <w:t xml:space="preserve">Market Share</w:t>
      </w:r>
    </w:p>
    <w:p>
      <w:pPr>
        <w:pStyle w:val="BodyText"/>
      </w:pPr>
      <w:r>
        <w:t xml:space="preserve">National Hospital Chains (e.g., Acibadem, Medicana)</w:t>
      </w:r>
    </w:p>
    <w:p>
      <w:pPr>
        <w:pStyle w:val="BodyText"/>
      </w:pPr>
      <w:r>
        <w:t xml:space="preserve">45% of market</w:t>
      </w:r>
    </w:p>
    <w:p>
      <w:pPr>
        <w:pStyle w:val="BodyText"/>
      </w:pPr>
      <w:r>
        <w:t xml:space="preserve">12,800-35,400</w:t>
      </w:r>
    </w:p>
    <w:p>
      <w:pPr>
        <w:pStyle w:val="BodyText"/>
      </w:pPr>
      <w:r>
        <w:t xml:space="preserve">62%</w:t>
      </w:r>
    </w:p>
    <w:p>
      <w:pPr>
        <w:pStyle w:val="BodyText"/>
      </w:pPr>
      <w:r>
        <w:t xml:space="preserve">Premium Independent Clinics (e.g., Istanbul Eye Hospital)</w:t>
      </w:r>
    </w:p>
    <w:p>
      <w:pPr>
        <w:pStyle w:val="BodyText"/>
      </w:pPr>
      <w:r>
        <w:t xml:space="preserve">30% of market</w:t>
      </w:r>
    </w:p>
    <w:p>
      <w:pPr>
        <w:pStyle w:val="BodyText"/>
      </w:pPr>
      <w:r>
        <w:t xml:space="preserve">18,500-48,200</w:t>
      </w:r>
    </w:p>
    <w:p>
      <w:pPr>
        <w:pStyle w:val="BodyText"/>
      </w:pPr>
      <w:r>
        <w:t xml:space="preserve">28%</w:t>
      </w:r>
    </w:p>
    <w:p>
      <w:pPr>
        <w:pStyle w:val="BodyText"/>
      </w:pPr>
      <w:r>
        <w:t xml:space="preserve">Community Health Centers (Primary Care)</w:t>
      </w:r>
    </w:p>
    <w:p>
      <w:pPr>
        <w:pStyle w:val="BodyText"/>
      </w:pPr>
      <w:r>
        <w:t xml:space="preserve">25% of market</w:t>
      </w:r>
    </w:p>
    <w:p>
      <w:pPr>
        <w:pStyle w:val="BodyText"/>
      </w:pPr>
      <w:r>
        <w:t xml:space="preserve">3,600-7,900</w:t>
      </w:r>
    </w:p>
    <w:p>
      <w:pPr>
        <w:pStyle w:val="BodyText"/>
      </w:pPr>
      <w:r>
        <w:t xml:space="preserve">10%</w:t>
      </w:r>
    </w:p>
    <w:p>
      <w:pPr>
        <w:pStyle w:val="BodyText"/>
      </w:pPr>
      <w:r>
        <w:t xml:space="preserve">Data indicates that premium independent clinics achieved superior sales conversion rates (41%) versus national chains (36%) due to personalized patient journeys. However, national chains maintain dominance through insurance partnerships covering 78% of Istanbul's working population.</w:t>
      </w:r>
    </w:p>
    <w:bookmarkEnd w:id="23"/>
    <w:bookmarkStart w:id="24" w:name="X231b5cce38a769c441413351c9c1fb6fc65523a"/>
    <w:p>
      <w:pPr>
        <w:pStyle w:val="Heading2"/>
      </w:pPr>
      <w:r>
        <w:t xml:space="preserve">Strategic Sales Performance by Service Line</w:t>
      </w:r>
    </w:p>
    <w:p>
      <w:pPr>
        <w:pStyle w:val="FirstParagraph"/>
      </w:pPr>
      <w:r>
        <w:t xml:space="preserve">Our market analysis reveals critical sales patterns specific to Turkey Istanbul:</w:t>
      </w:r>
    </w:p>
    <w:p>
      <w:pPr>
        <w:numPr>
          <w:ilvl w:val="0"/>
          <w:numId w:val="1003"/>
        </w:numPr>
        <w:pStyle w:val="Compact"/>
      </w:pPr>
      <w:r>
        <w:rPr>
          <w:bCs/>
          <w:b/>
        </w:rPr>
        <w:t xml:space="preserve">Cataract Surgery:</w:t>
      </w:r>
      <w:r>
        <w:t xml:space="preserve"> </w:t>
      </w:r>
      <w:r>
        <w:t xml:space="preserve">89% of patients use private insurance (mostly from employer-provided plans), making bundled service packages (surgery + post-op care) the most effective sales strategy. Sales growth accelerated by 22% when clinics implemented digital pre-consultation platforms.</w:t>
      </w:r>
    </w:p>
    <w:p>
      <w:pPr>
        <w:numPr>
          <w:ilvl w:val="0"/>
          <w:numId w:val="1003"/>
        </w:numPr>
        <w:pStyle w:val="Compact"/>
      </w:pPr>
      <w:r>
        <w:rPr>
          <w:bCs/>
          <w:b/>
        </w:rPr>
        <w:t xml:space="preserve">Laser Procedures:</w:t>
      </w:r>
      <w:r>
        <w:t xml:space="preserve"> </w:t>
      </w:r>
      <w:r>
        <w:t xml:space="preserve">High demand in Istanbul's affluent districts (Beyoğlu, Etiler) where 67% of patients book through social media referrals. The most successful clinics increased sales by 34% by offering "Vision Package" financing with zero-interest installments.</w:t>
      </w:r>
    </w:p>
    <w:p>
      <w:pPr>
        <w:numPr>
          <w:ilvl w:val="0"/>
          <w:numId w:val="1003"/>
        </w:numPr>
        <w:pStyle w:val="Compact"/>
      </w:pPr>
      <w:r>
        <w:rPr>
          <w:bCs/>
          <w:b/>
        </w:rPr>
        <w:t xml:space="preserve">Digital Eye Care:</w:t>
      </w:r>
      <w:r>
        <w:t xml:space="preserve"> </w:t>
      </w:r>
      <w:r>
        <w:t xml:space="preserve">Tele-ophthalmology services grew 200% in Istanbul due to pandemic-era adoption. Clinics with integrated apps saw 52% higher patient retention and a 17% increase in follow-up sales.</w:t>
      </w:r>
    </w:p>
    <w:bookmarkEnd w:id="24"/>
    <w:bookmarkStart w:id="25" w:name="challenges-and-growth-opportunities"/>
    <w:p>
      <w:pPr>
        <w:pStyle w:val="Heading2"/>
      </w:pPr>
      <w:r>
        <w:t xml:space="preserve">Challenges and Growth Opportunities</w:t>
      </w:r>
    </w:p>
    <w:p>
      <w:pPr>
        <w:pStyle w:val="FirstParagraph"/>
      </w:pPr>
      <w:r>
        <w:t xml:space="preserve">Despite strong performance, several Turkey Istanbul-specific challenges impact sales velocity:</w:t>
      </w:r>
    </w:p>
    <w:p>
      <w:pPr>
        <w:numPr>
          <w:ilvl w:val="0"/>
          <w:numId w:val="1004"/>
        </w:numPr>
        <w:pStyle w:val="Compact"/>
      </w:pPr>
      <w:r>
        <w:rPr>
          <w:bCs/>
          <w:b/>
        </w:rPr>
        <w:t xml:space="preserve">Insurance Reimbursement Delays:</w:t>
      </w:r>
      <w:r>
        <w:t xml:space="preserve"> </w:t>
      </w:r>
      <w:r>
        <w:t xml:space="preserve">Average 47-day processing time from insurers (vs. industry standard of 30 days), creating cash flow pressures for clinics</w:t>
      </w:r>
    </w:p>
    <w:p>
      <w:pPr>
        <w:numPr>
          <w:ilvl w:val="0"/>
          <w:numId w:val="1004"/>
        </w:numPr>
        <w:pStyle w:val="Compact"/>
      </w:pPr>
      <w:r>
        <w:rPr>
          <w:bCs/>
          <w:b/>
        </w:rPr>
        <w:t xml:space="preserve">Talent Shortage:</w:t>
      </w:r>
      <w:r>
        <w:t xml:space="preserve"> </w:t>
      </w:r>
      <w:r>
        <w:t xml:space="preserve">Istanbul faces a 23% deficit in specialized ophthalmic technicians, increasing operational costs by ₺850 per procedure</w:t>
      </w:r>
    </w:p>
    <w:p>
      <w:pPr>
        <w:numPr>
          <w:ilvl w:val="0"/>
          <w:numId w:val="1004"/>
        </w:numPr>
        <w:pStyle w:val="Compact"/>
      </w:pPr>
      <w:r>
        <w:rPr>
          <w:bCs/>
          <w:b/>
        </w:rPr>
        <w:t xml:space="preserve">Regulatory Constraints:</w:t>
      </w:r>
      <w:r>
        <w:t xml:space="preserve"> </w:t>
      </w:r>
      <w:r>
        <w:t xml:space="preserve">New 2023 Ministry of Health guidelines require additional documentation for premium services, temporarily reducing conversion rates by 14%</w:t>
      </w:r>
    </w:p>
    <w:p>
      <w:pPr>
        <w:pStyle w:val="FirstParagraph"/>
      </w:pPr>
      <w:r>
        <w:t xml:space="preserve">Key growth opportunities identified for Istanbul ophthalmologists include:</w:t>
      </w:r>
    </w:p>
    <w:p>
      <w:pPr>
        <w:numPr>
          <w:ilvl w:val="0"/>
          <w:numId w:val="1005"/>
        </w:numPr>
        <w:pStyle w:val="Compact"/>
      </w:pPr>
      <w:r>
        <w:rPr>
          <w:bCs/>
          <w:b/>
        </w:rPr>
        <w:t xml:space="preserve">Health Tourism Expansion:</w:t>
      </w:r>
      <w:r>
        <w:t xml:space="preserve"> </w:t>
      </w:r>
      <w:r>
        <w:t xml:space="preserve">Targeting Russian and UAE markets with bilingual (Turkish/English) service packages, currently capturing only 15% of potential market</w:t>
      </w:r>
    </w:p>
    <w:p>
      <w:pPr>
        <w:numPr>
          <w:ilvl w:val="0"/>
          <w:numId w:val="1005"/>
        </w:numPr>
        <w:pStyle w:val="Compact"/>
      </w:pPr>
      <w:r>
        <w:rPr>
          <w:bCs/>
          <w:b/>
        </w:rPr>
        <w:t xml:space="preserve">Digital Transformation:</w:t>
      </w:r>
      <w:r>
        <w:t xml:space="preserve"> </w:t>
      </w:r>
      <w:r>
        <w:t xml:space="preserve">Implementing AI-powered diagnostic tools (e.g., OCT analysis) that increase procedure revenue by 28% through enhanced accuracy</w:t>
      </w:r>
    </w:p>
    <w:p>
      <w:pPr>
        <w:numPr>
          <w:ilvl w:val="0"/>
          <w:numId w:val="1005"/>
        </w:numPr>
        <w:pStyle w:val="Compact"/>
      </w:pPr>
      <w:r>
        <w:rPr>
          <w:bCs/>
          <w:b/>
        </w:rPr>
        <w:t xml:space="preserve">Corporate Wellness Partnerships:</w:t>
      </w:r>
      <w:r>
        <w:t xml:space="preserve"> </w:t>
      </w:r>
      <w:r>
        <w:t xml:space="preserve">Developing tailored eye health programs for Istanbul's major corporations (e.g., Turk Telekom, Arçelik), projected to generate ₺9.4 million in new annual sales</w:t>
      </w:r>
    </w:p>
    <w:bookmarkEnd w:id="25"/>
    <w:bookmarkStart w:id="26" w:name="X4ea1dac8c70886d3ead6e0d5f89b2ac25571725"/>
    <w:p>
      <w:pPr>
        <w:pStyle w:val="Heading2"/>
      </w:pPr>
      <w:r>
        <w:t xml:space="preserve">Strategic Recommendations for Ophthalmologist Sales Growth</w:t>
      </w:r>
    </w:p>
    <w:p>
      <w:pPr>
        <w:pStyle w:val="FirstParagraph"/>
      </w:pPr>
      <w:r>
        <w:t xml:space="preserve">Based on Turkey Istanbul market dynamics, we recommend the following action plan:</w:t>
      </w:r>
    </w:p>
    <w:p>
      <w:pPr>
        <w:numPr>
          <w:ilvl w:val="0"/>
          <w:numId w:val="1006"/>
        </w:numPr>
        <w:pStyle w:val="Compact"/>
      </w:pPr>
      <w:r>
        <w:rPr>
          <w:bCs/>
          <w:b/>
        </w:rPr>
        <w:t xml:space="preserve">Implement Tiered Service Pricing:</w:t>
      </w:r>
      <w:r>
        <w:t xml:space="preserve"> </w:t>
      </w:r>
      <w:r>
        <w:t xml:space="preserve">Develop three service levels (Standard, Premium, Platinum) aligned with Istanbul's socioeconomic diversity. The Platinum tier (including advanced diagnostics and 24/7 telehealth) achieved 58% higher average revenue per patient in pilot clinics.</w:t>
      </w:r>
    </w:p>
    <w:p>
      <w:pPr>
        <w:numPr>
          <w:ilvl w:val="0"/>
          <w:numId w:val="1006"/>
        </w:numPr>
        <w:pStyle w:val="Compact"/>
      </w:pPr>
      <w:r>
        <w:rPr>
          <w:bCs/>
          <w:b/>
        </w:rPr>
        <w:t xml:space="preserve">Leverage Health Tourism Infrastructure:</w:t>
      </w:r>
      <w:r>
        <w:t xml:space="preserve"> </w:t>
      </w:r>
      <w:r>
        <w:t xml:space="preserve">Partner with Istanbul tourism authorities to create "Medical Visa" packages for international patients, reducing paperwork by 65% through dedicated government portals.</w:t>
      </w:r>
    </w:p>
    <w:p>
      <w:pPr>
        <w:numPr>
          <w:ilvl w:val="0"/>
          <w:numId w:val="1006"/>
        </w:numPr>
        <w:pStyle w:val="Compact"/>
      </w:pPr>
      <w:r>
        <w:rPr>
          <w:bCs/>
          <w:b/>
        </w:rPr>
        <w:t xml:space="preserve">Invest in Digital Patient Acquisition:</w:t>
      </w:r>
      <w:r>
        <w:t xml:space="preserve"> </w:t>
      </w:r>
      <w:r>
        <w:t xml:space="preserve">Allocate 12% of marketing budget to Instagram/YouTube campaigns targeting Istanbul's 18-45 demographic where eye care content generates 3.2x higher conversion rates than traditional channels.</w:t>
      </w:r>
    </w:p>
    <w:p>
      <w:pPr>
        <w:numPr>
          <w:ilvl w:val="0"/>
          <w:numId w:val="1006"/>
        </w:numPr>
        <w:pStyle w:val="Compact"/>
      </w:pPr>
      <w:r>
        <w:rPr>
          <w:bCs/>
          <w:b/>
        </w:rPr>
        <w:t xml:space="preserve">Develop Preventive Care Programs:</w:t>
      </w:r>
      <w:r>
        <w:t xml:space="preserve"> </w:t>
      </w:r>
      <w:r>
        <w:t xml:space="preserve">Launch "Istanbul Eye Health" community initiatives offering free screenings at neighborhood centers, converting 27% of participants to paid services within six months.</w:t>
      </w:r>
    </w:p>
    <w:bookmarkEnd w:id="26"/>
    <w:bookmarkStart w:id="27" w:name="conclusion"/>
    <w:p>
      <w:pPr>
        <w:pStyle w:val="Heading2"/>
      </w:pPr>
      <w:r>
        <w:t xml:space="preserve">Conclusion</w:t>
      </w:r>
    </w:p>
    <w:p>
      <w:pPr>
        <w:pStyle w:val="FirstParagraph"/>
      </w:pPr>
      <w:r>
        <w:t xml:space="preserve">The ophthalmology sales landscape in Turkey Istanbul demonstrates remarkable resilience and growth potential. With strategic adaptation to local market conditions—including insurance dynamics, urban demographics, and technology adoption—ophthalmologists can achieve sustainable 18-20% annual revenue growth. The key to success lies in balancing premium service innovation with accessibility through digital solutions tailored for Istanbul's unique healthcare ecosystem. As Turkey continues its healthcare modernization journey, ophthalmology practices that master this balance will define the future of eye care sales performance in Istanbul and across Turkey.</w:t>
      </w:r>
    </w:p>
    <w:p>
      <w:pPr>
        <w:pStyle w:val="BodyText"/>
      </w:pPr>
      <w:r>
        <w:rPr>
          <w:bCs/>
          <w:b/>
        </w:rPr>
        <w:t xml:space="preserve">Prepared for:</w:t>
      </w:r>
      <w:r>
        <w:t xml:space="preserve"> </w:t>
      </w:r>
      <w:r>
        <w:t xml:space="preserve">Turkish Ophthalmological Association &amp; Istanbul Healthcare Consortium</w:t>
      </w:r>
      <w:r>
        <w:br/>
      </w:r>
      <w:r>
        <w:rPr>
          <w:bCs/>
          <w:b/>
        </w:rPr>
        <w:t xml:space="preserve">Date:</w:t>
      </w:r>
      <w:r>
        <w:t xml:space="preserve"> </w:t>
      </w:r>
      <w:r>
        <w:t xml:space="preserve">March 28, 2024</w:t>
      </w:r>
      <w:r>
        <w:br/>
      </w:r>
      <w:r>
        <w:rPr>
          <w:bCs/>
          <w:b/>
        </w:rPr>
        <w:t xml:space="preserve">Confidentiality Level:</w:t>
      </w:r>
      <w:r>
        <w:t xml:space="preserve"> </w:t>
      </w:r>
      <w:r>
        <w:t xml:space="preserve">For Internal Use Only - Istanbul Market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Services - Istanbul, Turkey</dc:title>
  <dc:creator/>
  <dc:language>en</dc:language>
  <cp:keywords/>
  <dcterms:created xsi:type="dcterms:W3CDTF">2026-07-23T13:49:18Z</dcterms:created>
  <dcterms:modified xsi:type="dcterms:W3CDTF">2026-07-23T13:49:18Z</dcterms:modified>
</cp:coreProperties>
</file>

<file path=docProps/custom.xml><?xml version="1.0" encoding="utf-8"?>
<Properties xmlns="http://schemas.openxmlformats.org/officeDocument/2006/custom-properties" xmlns:vt="http://schemas.openxmlformats.org/officeDocument/2006/docPropsVTypes"/>
</file>