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820001e5ec44213600951a453b1519278213919"/>
    <w:p>
      <w:pPr>
        <w:pStyle w:val="Heading1"/>
      </w:pPr>
      <w:r>
        <w:t xml:space="preserve">Sales Report: Ophthalmology Services Performance in Abu Dhabi, United Arab Emirates</w:t>
      </w:r>
    </w:p>
    <w:bookmarkStart w:id="20" w:name="executive-summary"/>
    <w:p>
      <w:pPr>
        <w:pStyle w:val="Heading2"/>
      </w:pPr>
      <w:r>
        <w:t xml:space="preserve">Executive Summary</w:t>
      </w:r>
    </w:p>
    <w:p>
      <w:pPr>
        <w:pStyle w:val="FirstParagraph"/>
      </w:pPr>
      <w:r>
        <w:t xml:space="preserve">This comprehensive Sales Report analyzes the performance of ophthalmology services within the Abu Dhabi healthcare market, United Arab Emirates. The report details critical sales metrics, patient acquisition trends, service utilization patterns, and strategic recommendations for enhancing revenue streams in this specialized medical field. As a leading ophthalmologist practice operating across Abu Dhabi's premier healthcare facilities including Cleveland Clinic Abu Dhabi and SEHA hospitals, we have achieved remarkable growth in diagnostic services and surgical procedures. This report confirms that our strategic focus on premium ophthalmic care has positioned us as a market leader in the United Arab Emirates' most dynamic healthcare hub.</w:t>
      </w:r>
    </w:p>
    <w:bookmarkEnd w:id="20"/>
    <w:bookmarkStart w:id="21" w:name="X6a7e94abd1c31ff6ed63357ba3b5305c3bfc8c5"/>
    <w:p>
      <w:pPr>
        <w:pStyle w:val="Heading2"/>
      </w:pPr>
      <w:r>
        <w:t xml:space="preserve">Market Overview: Ophthalmology Sector in Abu Dhabi</w:t>
      </w:r>
    </w:p>
    <w:p>
      <w:pPr>
        <w:pStyle w:val="FirstParagraph"/>
      </w:pPr>
      <w:r>
        <w:t xml:space="preserve">The ophthalmology market in Abu Dhabi represents a high-growth segment within the United Arab Emirates healthcare landscape. With a population of 1.7 million residents and significant expatriate communities, Abu Dhabi faces increasing demand for advanced eye care services due to rising diabetes prevalence (15% adult incidence), aging demographics, and growing awareness of preventive eye health. The Abu Dhabi Vision 2030 healthcare strategy explicitly prioritizes ophthalmic services as critical to reducing preventable blindness, creating a fertile environment for specialized ophthalmologist practices.</w:t>
      </w:r>
    </w:p>
    <w:p>
      <w:pPr>
        <w:pStyle w:val="BodyText"/>
      </w:pPr>
      <w:r>
        <w:rPr>
          <w:bCs/>
          <w:b/>
        </w:rPr>
        <w:t xml:space="preserve">Key Market Indicator:</w:t>
      </w:r>
      <w:r>
        <w:t xml:space="preserve"> </w:t>
      </w:r>
      <w:r>
        <w:t xml:space="preserve">Ophthalmology service demand in Abu Dhabi has grown at 12.3% annually (2020-2023), outpacing national healthcare growth by 4.7%. The UAE's ophthalmic equipment market is projected to reach $385 million by 2026, with Abu Dhabi capturing 68% of regional market share.</w:t>
      </w:r>
    </w:p>
    <w:bookmarkEnd w:id="21"/>
    <w:bookmarkStart w:id="24" w:name="quarterly-sales-performance-analysis"/>
    <w:p>
      <w:pPr>
        <w:pStyle w:val="Heading2"/>
      </w:pPr>
      <w:r>
        <w:t xml:space="preserve">Quarterly Sales Performance Analysis</w:t>
      </w:r>
    </w:p>
    <w:bookmarkStart w:id="22" w:name="service-revenue-breakdown-q1-q3-2023"/>
    <w:p>
      <w:pPr>
        <w:pStyle w:val="Heading3"/>
      </w:pPr>
      <w:r>
        <w:t xml:space="preserve">Service Revenue Breakdown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(AED)</w:t>
            </w:r>
          </w:p>
        </w:tc>
        <w:tc>
          <w:tcPr/>
          <w:p>
            <w:pPr>
              <w:pStyle w:val="Compact"/>
              <w:jc w:val="left"/>
            </w:pPr>
            <w:r>
              <w:t xml:space="preserve">% of Total</w:t>
            </w:r>
          </w:p>
        </w:tc>
        <w:tc>
          <w:tcPr/>
          <w:p>
            <w:pPr>
              <w:pStyle w:val="Compact"/>
              <w:jc w:val="left"/>
            </w:pPr>
            <w:r>
              <w:t xml:space="preserve">Growth vs Previous Period</w:t>
            </w:r>
          </w:p>
        </w:tc>
      </w:tr>
      <w:tr>
        <w:tc>
          <w:tcPr/>
          <w:p>
            <w:pPr>
              <w:pStyle w:val="Compact"/>
              <w:jc w:val="left"/>
            </w:pPr>
            <w:r>
              <w:t xml:space="preserve">Cataract Surgery</w:t>
            </w:r>
          </w:p>
        </w:tc>
        <w:tc>
          <w:tcPr/>
          <w:p>
            <w:pPr>
              <w:pStyle w:val="Compact"/>
              <w:jc w:val="left"/>
            </w:pPr>
            <w:r>
              <w:t xml:space="preserve">12,450,000</w:t>
            </w:r>
          </w:p>
        </w:tc>
        <w:tc>
          <w:tcPr/>
          <w:p>
            <w:pPr>
              <w:pStyle w:val="Compact"/>
              <w:jc w:val="left"/>
            </w:pPr>
            <w:r>
              <w:t xml:space="preserve">38.7%</w:t>
            </w:r>
          </w:p>
        </w:tc>
        <w:tc>
          <w:tcPr/>
          <w:p>
            <w:pPr>
              <w:pStyle w:val="Compact"/>
              <w:jc w:val="left"/>
            </w:pPr>
            <w:r>
              <w:t xml:space="preserve">+15.2%</w:t>
            </w:r>
          </w:p>
        </w:tc>
      </w:tr>
      <w:tr>
        <w:tc>
          <w:tcPr/>
          <w:p>
            <w:pPr>
              <w:pStyle w:val="Compact"/>
              <w:jc w:val="left"/>
            </w:pPr>
            <w:r>
              <w:t xml:space="preserve">Retinal Treatment</w:t>
            </w:r>
          </w:p>
        </w:tc>
        <w:tc>
          <w:tcPr/>
          <w:p>
            <w:pPr>
              <w:pStyle w:val="Compact"/>
              <w:jc w:val="left"/>
            </w:pPr>
            <w:r>
              <w:t xml:space="preserve">8,965,000</w:t>
            </w:r>
          </w:p>
        </w:tc>
        <w:tc>
          <w:tcPr/>
          <w:p>
            <w:pPr>
              <w:pStyle w:val="Compact"/>
              <w:jc w:val="left"/>
            </w:pPr>
            <w:r>
              <w:t xml:space="preserve">27.9%</w:t>
            </w:r>
          </w:p>
        </w:tc>
        <w:tc>
          <w:tcPr/>
          <w:p>
            <w:pPr>
              <w:pStyle w:val="Compact"/>
              <w:jc w:val="left"/>
            </w:pPr>
            <w:r>
              <w:t xml:space="preserve">+18.4%</w:t>
            </w:r>
          </w:p>
        </w:tc>
      </w:tr>
      <w:tr>
        <w:tc>
          <w:tcPr/>
          <w:p>
            <w:pPr>
              <w:pStyle w:val="Compact"/>
              <w:jc w:val="left"/>
            </w:pPr>
            <w:r>
              <w:t xml:space="preserve">Laser Vision Correction (LASIK)</w:t>
            </w:r>
          </w:p>
        </w:tc>
        <w:tc>
          <w:tcPr/>
          <w:p>
            <w:pPr>
              <w:pStyle w:val="Compact"/>
              <w:jc w:val="left"/>
            </w:pPr>
            <w:r>
              <w:t xml:space="preserve">5,672,000</w:t>
            </w:r>
          </w:p>
        </w:tc>
        <w:tc>
          <w:tcPr/>
          <w:p>
            <w:pPr>
              <w:pStyle w:val="Compact"/>
              <w:jc w:val="left"/>
            </w:pPr>
            <w:r>
              <w:t xml:space="preserve">17.6%</w:t>
            </w:r>
          </w:p>
        </w:tc>
        <w:tc>
          <w:tcPr/>
          <w:p>
            <w:pPr>
              <w:pStyle w:val="Compact"/>
              <w:jc w:val="left"/>
            </w:pPr>
            <w:r>
              <w:t xml:space="preserve">+22.1%</w:t>
            </w:r>
          </w:p>
        </w:tc>
      </w:tr>
      <w:tr>
        <w:tc>
          <w:tcPr/>
          <w:p>
            <w:pPr>
              <w:pStyle w:val="Compact"/>
              <w:jc w:val="left"/>
            </w:pPr>
            <w:r>
              <w:t xml:space="preserve">Diagnostics &amp; Consultations</w:t>
            </w:r>
          </w:p>
        </w:tc>
        <w:tc>
          <w:tcPr/>
          <w:p>
            <w:pPr>
              <w:pStyle w:val="Compact"/>
              <w:jc w:val="left"/>
            </w:pPr>
            <w:r>
              <w:t xml:space="preserve">3,849,000</w:t>
            </w:r>
          </w:p>
        </w:tc>
        <w:tc>
          <w:tcPr/>
          <w:p>
            <w:pPr>
              <w:pStyle w:val="Compact"/>
              <w:jc w:val="left"/>
            </w:pPr>
            <w:r>
              <w:t xml:space="preserve">12.0%</w:t>
            </w:r>
          </w:p>
        </w:tc>
        <w:tc>
          <w:tcPr/>
          <w:p>
            <w:pPr>
              <w:pStyle w:val="Compact"/>
              <w:jc w:val="left"/>
            </w:pPr>
            <w:r>
              <w:t xml:space="preserve">+9.5%</w:t>
            </w:r>
          </w:p>
        </w:tc>
      </w:tr>
      <w:tr>
        <w:tc>
          <w:tcPr/>
          <w:p>
            <w:pPr>
              <w:pStyle w:val="Compact"/>
              <w:jc w:val="left"/>
            </w:pPr>
            <w:r>
              <w:t xml:space="preserve">Total Revenue</w:t>
            </w:r>
          </w:p>
        </w:tc>
        <w:tc>
          <w:tcPr/>
          <w:p>
            <w:pPr>
              <w:pStyle w:val="Compact"/>
              <w:jc w:val="left"/>
            </w:pPr>
            <w:r>
              <w:t xml:space="preserve">31,936,000</w:t>
            </w:r>
          </w:p>
        </w:tc>
        <w:tc>
          <w:tcPr/>
          <w:p>
            <w:pPr>
              <w:pStyle w:val="Compact"/>
              <w:jc w:val="left"/>
            </w:pPr>
            <w:r>
              <w:t xml:space="preserve">100%</w:t>
            </w:r>
          </w:p>
        </w:tc>
        <w:tc>
          <w:tcPr/>
          <w:p>
            <w:pPr>
              <w:pStyle w:val="Compact"/>
              <w:jc w:val="left"/>
            </w:pPr>
            <w:r>
              <w:t xml:space="preserve">+14.7%</w:t>
            </w:r>
          </w:p>
        </w:tc>
      </w:tr>
    </w:tbl>
    <w:bookmarkEnd w:id="22"/>
    <w:bookmarkStart w:id="23" w:name="key-sales-achievement-highlights"/>
    <w:p>
      <w:pPr>
        <w:pStyle w:val="Heading3"/>
      </w:pPr>
      <w:r>
        <w:t xml:space="preserve">Key Sales Achievement Highlights:</w:t>
      </w:r>
    </w:p>
    <w:p>
      <w:pPr>
        <w:numPr>
          <w:ilvl w:val="0"/>
          <w:numId w:val="1001"/>
        </w:numPr>
        <w:pStyle w:val="Compact"/>
      </w:pPr>
      <w:r>
        <w:t xml:space="preserve">Exceeded annual revenue targets by 22% through strategic partnerships with Abu Dhabi's corporate health insurance providers (including Mubadala Health and Etihad Airways' medical coverage)</w:t>
      </w:r>
    </w:p>
    <w:p>
      <w:pPr>
        <w:numPr>
          <w:ilvl w:val="0"/>
          <w:numId w:val="1001"/>
        </w:numPr>
        <w:pStyle w:val="Compact"/>
      </w:pPr>
      <w:r>
        <w:t xml:space="preserve">Laser Vision Correction segment achieved 41% market share in Abu Dhabi, driven by premium patient experiences at our Dubai Eye Clinic branch</w:t>
      </w:r>
    </w:p>
    <w:p>
      <w:pPr>
        <w:numPr>
          <w:ilvl w:val="0"/>
          <w:numId w:val="1001"/>
        </w:numPr>
        <w:pStyle w:val="Compact"/>
      </w:pPr>
      <w:r>
        <w:t xml:space="preserve">Retinal treatment services grew 37% through collaborative care with Cleveland Clinic Abu Dhabi's retina specialists</w:t>
      </w:r>
    </w:p>
    <w:bookmarkEnd w:id="23"/>
    <w:bookmarkEnd w:id="24"/>
    <w:bookmarkStart w:id="26" w:name="X7877b80e115d0d35617b3b6a156907e1d23bc69"/>
    <w:p>
      <w:pPr>
        <w:pStyle w:val="Heading2"/>
      </w:pPr>
      <w:r>
        <w:t xml:space="preserve">Patient Demographics &amp; Service Utilization in Abu Dhabi</w:t>
      </w:r>
    </w:p>
    <w:bookmarkStart w:id="25" w:name="demographic-analysis-q1-q3-2023"/>
    <w:p>
      <w:pPr>
        <w:pStyle w:val="Heading3"/>
      </w:pPr>
      <w:r>
        <w:t xml:space="preserve">Demographic Analysis (Q1-Q3 2023)</w:t>
      </w:r>
    </w:p>
    <w:p>
      <w:pPr>
        <w:pStyle w:val="FirstParagraph"/>
      </w:pPr>
      <w:r>
        <w:t xml:space="preserve">Segment</w:t>
      </w:r>
    </w:p>
    <w:bookmarkEnd w:id="25"/>
    <w:bookmarkEnd w:id="26"/>
    <w:p>
      <w:pPr>
        <w:pStyle w:val="BodyText"/>
      </w:pPr>
      <w:r>
        <w:t xml:space="preserve">% of Patients</w:t>
      </w:r>
    </w:p>
    <w:p>
      <w:pPr>
        <w:pStyle w:val="BodyText"/>
      </w:pPr>
      <w:r>
        <w:t xml:space="preserve">Average Revenue per Patient (AED)</w:t>
      </w:r>
    </w:p>
    <w:p>
      <w:pPr>
        <w:pStyle w:val="BodyText"/>
      </w:pPr>
      <w:r>
        <w:t xml:space="preserve">Abu Dhabi Residents (Emirati &amp; GCC Nationals)</w:t>
      </w:r>
    </w:p>
    <w:p>
      <w:pPr>
        <w:pStyle w:val="BodyText"/>
      </w:pPr>
      <w:r>
        <w:t xml:space="preserve">52%</w:t>
      </w:r>
    </w:p>
    <w:p>
      <w:pPr>
        <w:pStyle w:val="BodyText"/>
      </w:pPr>
      <w:r>
        <w:t xml:space="preserve">4,850</w:t>
      </w:r>
    </w:p>
    <w:p>
      <w:pPr>
        <w:pStyle w:val="BodyText"/>
      </w:pPr>
      <w:r>
        <w:t xml:space="preserve">Expatriate Community</w:t>
      </w:r>
    </w:p>
    <w:p>
      <w:pPr>
        <w:pStyle w:val="BodyText"/>
      </w:pPr>
      <w:r>
        <w:t xml:space="preserve">41%</w:t>
      </w:r>
    </w:p>
    <w:p>
      <w:pPr>
        <w:pStyle w:val="BodyText"/>
      </w:pPr>
      <w:r>
        <w:t xml:space="preserve">&lt;</w:t>
      </w:r>
    </w:p>
    <w:p>
      <w:pPr>
        <w:pStyle w:val="BodyText"/>
      </w:pPr>
      <w:r>
        <w:t xml:space="preserve">6,280</w:t>
      </w:r>
    </w:p>
    <w:p>
      <w:pPr>
        <w:pStyle w:val="BodyText"/>
      </w:pPr>
      <w:r>
        <w:t xml:space="preserve">Total Patients (All Services)</w:t>
      </w:r>
    </w:p>
    <w:p>
      <w:pPr>
        <w:pStyle w:val="BodyText"/>
      </w:pPr>
      <w:r>
        <w:t xml:space="preserve">9,452</w:t>
      </w:r>
    </w:p>
    <w:p>
      <w:pPr>
        <w:pStyle w:val="BodyText"/>
      </w:pPr>
      <w:r>
        <w:t xml:space="preserve">N/A</w:t>
      </w:r>
    </w:p>
    <w:p>
      <w:pPr>
        <w:pStyle w:val="BodyText"/>
      </w:pPr>
      <w:r>
        <w:t xml:space="preserve">Crucially, the 41% expatriate patient segment represents a high-value demographic with significant spending power. This aligns perfectly with Abu Dhabi's status as a global business hub and our strategic focus on premium ophthalmology services. Notably, 68% of retinal patients were referred through Abu Dhabi's primary healthcare centers under the Ministry of Health's integrated care network.</w:t>
      </w:r>
    </w:p>
    <w:bookmarkStart w:id="27" w:name="competitive-landscape-analysis"/>
    <w:p>
      <w:pPr>
        <w:pStyle w:val="Heading2"/>
      </w:pPr>
      <w:r>
        <w:t xml:space="preserve">Competitive Landscape Analysis</w:t>
      </w:r>
    </w:p>
    <w:p>
      <w:pPr>
        <w:pStyle w:val="FirstParagraph"/>
      </w:pPr>
      <w:r>
        <w:t xml:space="preserve">In the United Arab Emirates ophthalmology market, Abu Dhabi presents a unique competitive environment where specialized practices distinguish themselves through clinical excellence and service experience. Key competitors include:</w:t>
      </w:r>
    </w:p>
    <w:p>
      <w:pPr>
        <w:numPr>
          <w:ilvl w:val="0"/>
          <w:numId w:val="1002"/>
        </w:numPr>
        <w:pStyle w:val="Compact"/>
      </w:pPr>
      <w:r>
        <w:rPr>
          <w:bCs/>
          <w:b/>
        </w:rPr>
        <w:t xml:space="preserve">Cleveland Clinic Abu Dhabi:</w:t>
      </w:r>
      <w:r>
        <w:t xml:space="preserve"> </w:t>
      </w:r>
      <w:r>
        <w:t xml:space="preserve">Dominant in complex retinal cases (35% market share), but limited in laser surgery options</w:t>
      </w:r>
    </w:p>
    <w:p>
      <w:pPr>
        <w:numPr>
          <w:ilvl w:val="0"/>
          <w:numId w:val="1002"/>
        </w:numPr>
        <w:pStyle w:val="Compact"/>
      </w:pPr>
      <w:r>
        <w:rPr>
          <w:bCs/>
          <w:b/>
        </w:rPr>
        <w:t xml:space="preserve">Al Rahma Hospital Eye Department:</w:t>
      </w:r>
      <w:r>
        <w:t xml:space="preserve"> </w:t>
      </w:r>
      <w:r>
        <w:t xml:space="preserve">Strong government-affiliated presence with 28% market share, primarily serving public insurance patients</w:t>
      </w:r>
    </w:p>
    <w:p>
      <w:pPr>
        <w:pStyle w:val="FirstParagraph"/>
      </w:pPr>
      <w:r>
        <w:rPr>
          <w:bCs/>
          <w:b/>
        </w:rPr>
        <w:t xml:space="preserve">Our Strategic Advantage:</w:t>
      </w:r>
      <w:r>
        <w:t xml:space="preserve"> </w:t>
      </w:r>
      <w:r>
        <w:t xml:space="preserve">Our unique positioning as a privately-owned ophthalmologist practice with full-spectrum services from diagnostics to surgery, combined with our Abu Dhabi-based clinical team certified by the UAE Ministry of Health, has enabled us to capture 22% market share in premium ophthalmology services – exceeding competitors' average of 15%. This is particularly significant given that only 30% of Abu Dhabi's ophthalmic services are provided by private sector entities.</w:t>
      </w:r>
    </w:p>
    <w:bookmarkEnd w:id="27"/>
    <w:bookmarkStart w:id="30" w:name="X585bd76ce386a6dee7e74c1217223d5628e89f5"/>
    <w:p>
      <w:pPr>
        <w:pStyle w:val="Heading2"/>
      </w:pPr>
      <w:r>
        <w:t xml:space="preserve">Challenges &amp; Strategic Opportunities in Abu Dhabi</w:t>
      </w:r>
    </w:p>
    <w:bookmarkStart w:id="28" w:name="current-market-challenges"/>
    <w:p>
      <w:pPr>
        <w:pStyle w:val="Heading3"/>
      </w:pPr>
      <w:r>
        <w:t xml:space="preserve">Current Market Challenges:</w:t>
      </w:r>
    </w:p>
    <w:p>
      <w:pPr>
        <w:numPr>
          <w:ilvl w:val="0"/>
          <w:numId w:val="1003"/>
        </w:numPr>
        <w:pStyle w:val="Compact"/>
      </w:pPr>
      <w:r>
        <w:rPr>
          <w:bCs/>
          <w:b/>
        </w:rPr>
        <w:t xml:space="preserve">Insurance Reimbursement Delays:</w:t>
      </w:r>
      <w:r>
        <w:t xml:space="preserve"> </w:t>
      </w:r>
      <w:r>
        <w:t xml:space="preserve">Average 58-day payment cycle from UAE government health insurance providers, impacting cash flow for ophthalmologist practices</w:t>
      </w:r>
    </w:p>
    <w:p>
      <w:pPr>
        <w:numPr>
          <w:ilvl w:val="0"/>
          <w:numId w:val="1003"/>
        </w:numPr>
        <w:pStyle w:val="Compact"/>
      </w:pPr>
      <w:r>
        <w:rPr>
          <w:bCs/>
          <w:b/>
        </w:rPr>
        <w:t xml:space="preserve">Talent Shortage:</w:t>
      </w:r>
      <w:r>
        <w:t xml:space="preserve"> </w:t>
      </w:r>
      <w:r>
        <w:t xml:space="preserve">Critical shortage of board-certified ophthalmologists in Abu Dhabi, with only 12% of specialists being Emirati nationals</w:t>
      </w:r>
    </w:p>
    <w:p>
      <w:pPr>
        <w:numPr>
          <w:ilvl w:val="0"/>
          <w:numId w:val="1003"/>
        </w:numPr>
        <w:pStyle w:val="Compact"/>
      </w:pPr>
      <w:r>
        <w:rPr>
          <w:bCs/>
          <w:b/>
        </w:rPr>
        <w:t xml:space="preserve">Regulatory Complexity:</w:t>
      </w:r>
      <w:r>
        <w:t xml:space="preserve"> </w:t>
      </w:r>
      <w:r>
        <w:t xml:space="preserve">UAE's evolving medical licensing requirements create onboarding barriers for international ophthalmology talent</w:t>
      </w:r>
    </w:p>
    <w:bookmarkEnd w:id="28"/>
    <w:bookmarkStart w:id="29" w:name="strategic-opportunities-for-growth"/>
    <w:p>
      <w:pPr>
        <w:pStyle w:val="Heading3"/>
      </w:pPr>
      <w:r>
        <w:t xml:space="preserve">Strategic Opportunities for Growth:</w:t>
      </w:r>
    </w:p>
    <w:p>
      <w:pPr>
        <w:numPr>
          <w:ilvl w:val="0"/>
          <w:numId w:val="1004"/>
        </w:numPr>
        <w:pStyle w:val="Compact"/>
      </w:pPr>
      <w:r>
        <w:rPr>
          <w:bCs/>
          <w:b/>
        </w:rPr>
        <w:t xml:space="preserve">Preventive Care Expansion:</w:t>
      </w:r>
      <w:r>
        <w:t xml:space="preserve"> </w:t>
      </w:r>
      <w:r>
        <w:t xml:space="preserve">Partner with Abu Dhabi's Public Health Authority to develop community-based diabetic retinopathy screening programs (addressing 25% of blindness cases in UAE)</w:t>
      </w:r>
    </w:p>
    <w:p>
      <w:pPr>
        <w:numPr>
          <w:ilvl w:val="0"/>
          <w:numId w:val="1004"/>
        </w:numPr>
        <w:pStyle w:val="Compact"/>
      </w:pPr>
      <w:r>
        <w:rPr>
          <w:bCs/>
          <w:b/>
        </w:rPr>
        <w:t xml:space="preserve">Tele-Ophthalmology Services:</w:t>
      </w:r>
      <w:r>
        <w:t xml:space="preserve"> </w:t>
      </w:r>
      <w:r>
        <w:t xml:space="preserve">Launch Abu Dhabi-specific virtual eye care platform targeting corporate clients (currently underserved market segment)</w:t>
      </w:r>
    </w:p>
    <w:p>
      <w:pPr>
        <w:numPr>
          <w:ilvl w:val="0"/>
          <w:numId w:val="1004"/>
        </w:numPr>
        <w:pStyle w:val="Compact"/>
      </w:pPr>
      <w:r>
        <w:rPr>
          <w:bCs/>
          <w:b/>
        </w:rPr>
        <w:t xml:space="preserve">Medical Tourism Specialization:</w:t>
      </w:r>
      <w:r>
        <w:t xml:space="preserve"> </w:t>
      </w:r>
      <w:r>
        <w:t xml:space="preserve">Develop tailored packages for GCC expatriates seeking premium ophthalmology care during business travel</w:t>
      </w:r>
    </w:p>
    <w:bookmarkEnd w:id="29"/>
    <w:bookmarkEnd w:id="30"/>
    <w:bookmarkStart w:id="31" w:name="conclusion-future-outlook"/>
    <w:p>
      <w:pPr>
        <w:pStyle w:val="Heading2"/>
      </w:pPr>
      <w:r>
        <w:t xml:space="preserve">Conclusion &amp; Future Outlook</w:t>
      </w:r>
    </w:p>
    <w:p>
      <w:pPr>
        <w:pStyle w:val="FirstParagraph"/>
      </w:pPr>
      <w:r>
        <w:t xml:space="preserve">This Sales Report confirms the exceptional performance of our ophthalmologist practice within Abu Dhabi's United Arab Emirates healthcare ecosystem. With a 14.7% year-over-year revenue increase and dominant market positioning in premium eye care services, we have established a sustainable growth trajectory aligned with Abu Dhabi Vision 2030 healthcare objectives.</w:t>
      </w:r>
    </w:p>
    <w:p>
      <w:pPr>
        <w:pStyle w:val="BodyText"/>
      </w:pPr>
      <w:r>
        <w:t xml:space="preserve">Looking forward, our strategic focus on three pillars will drive future success: (1) Deepening partnerships with Abu Dhabi's government healthcare entities to expand preventive service networks, (2) Accelerating tele-ophthalmology adoption within the UAE market, and (3) Developing specialized ophthalmic training programs in partnership with Khalifa University to address local talent development needs.</w:t>
      </w:r>
    </w:p>
    <w:p>
      <w:pPr>
        <w:pStyle w:val="BodyText"/>
      </w:pPr>
      <w:r>
        <w:t xml:space="preserve">As the United Arab Emirates continues its transformation into a global health destination, Abu Dhabi remains at the forefront of ophthalmology innovation. Our practice is strategically positioned to lead this growth through continued investment in advanced diagnostic technology (including AI-powered retinal analysis), expansion of premium service offerings, and unwavering commitment to patient-centered care that meets Abu Dhabi's highest healthcare standards.</w:t>
      </w:r>
    </w:p>
    <w:p>
      <w:pPr>
        <w:pStyle w:val="BodyText"/>
      </w:pPr>
      <w:r>
        <w:rPr>
          <w:bCs/>
          <w:b/>
        </w:rPr>
        <w:t xml:space="preserve">Recommendation:</w:t>
      </w:r>
      <w:r>
        <w:t xml:space="preserve"> </w:t>
      </w:r>
      <w:r>
        <w:t xml:space="preserve">Allocate 15% of annual revenue toward developing Abu Dhabi-specific preventive eye health programs to capture projected $87 million market opportunity by 2027, as outlined in the UAE Ministry of Health's National Ophthalmic Strategy.</w:t>
      </w:r>
    </w:p>
    <w:bookmarkEnd w:id="31"/>
    <w:p>
      <w:pPr>
        <w:pStyle w:val="BodyText"/>
      </w:pPr>
      <w:r>
        <w:t xml:space="preserve">Prepared for Abu Dhabi Healthcare Leadership | Sales Report Date: October 26, 2023</w:t>
      </w:r>
    </w:p>
    <w:p>
      <w:pPr>
        <w:pStyle w:val="BodyText"/>
      </w:pPr>
      <w:r>
        <w:t xml:space="preserve">This document represents confidential business data specific to ophthalmology service sales operations in the United Arab Emirates Abu Dhabi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Ophthalmology Services in Abu Dhabi, United Arab Emirates</dc:title>
  <dc:creator/>
  <dc:language>en</dc:language>
  <cp:keywords/>
  <dcterms:created xsi:type="dcterms:W3CDTF">2026-07-23T23:31:04Z</dcterms:created>
  <dcterms:modified xsi:type="dcterms:W3CDTF">2026-07-23T23:31:04Z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