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43549c74c6bb4d0984e541ec43cedbe667c3d98"/>
    <w:p>
      <w:pPr>
        <w:pStyle w:val="Heading1"/>
      </w:pPr>
      <w:r>
        <w:t xml:space="preserve">Comprehensive Ophthalmologist Sales Performance Report: United Arab Emirates Dubai Market (Q3 2023)</w:t>
      </w:r>
    </w:p>
    <w:bookmarkStart w:id="20" w:name="executive-summary"/>
    <w:p>
      <w:pPr>
        <w:pStyle w:val="Heading2"/>
      </w:pPr>
      <w:r>
        <w:t xml:space="preserve">Executive Summary</w:t>
      </w:r>
    </w:p>
    <w:p>
      <w:pPr>
        <w:pStyle w:val="FirstParagraph"/>
      </w:pPr>
      <w:r>
        <w:t xml:space="preserve">This quarterly Sales Report details the performance of ophthalmology-related services and equipment sales targeting ophthalmologists across the United Arab Emirates Dubai region. The market demonstrates robust growth driven by increasing prevalence of diabetic retinopathy, cataracts, and myopia among Dubai's diverse population. Total sales volume reached AED 18.7 million in Q3 2023, representing a 24% year-on-year increase from the previous quarter. Key success factors include strategic partnerships with leading Dubai hospitals and alignment with UAE healthcare digitization initiatives.</w:t>
      </w:r>
    </w:p>
    <w:bookmarkEnd w:id="20"/>
    <w:bookmarkStart w:id="21" w:name="X6ada9ff69e5c33fdd275f75828dd8d9867105fe"/>
    <w:p>
      <w:pPr>
        <w:pStyle w:val="Heading2"/>
      </w:pPr>
      <w:r>
        <w:t xml:space="preserve">Market Context: Ophthalmology Demand in Dubai</w:t>
      </w:r>
    </w:p>
    <w:p>
      <w:pPr>
        <w:pStyle w:val="FirstParagraph"/>
      </w:pPr>
      <w:r>
        <w:t xml:space="preserve">The United Arab Emirates Dubai market continues to establish itself as a regional hub for advanced ophthalmic care. With a rapidly aging population (18% aged 60+), rising obesity rates, and high prevalence of diabetes (12.4% according to Dubai Health Authority data), the demand for specialized ophthalmologist services has surged. Dubai's healthcare infrastructure now includes 37 specialized eye hospitals and over 250 private ophthalmology clinics, creating a fertile ground for sales opportunities in diagnostic equipment, surgical tools, and therapeutic solutions.</w:t>
      </w:r>
    </w:p>
    <w:bookmarkEnd w:id="21"/>
    <w:bookmarkStart w:id="23" w:name="performance-analysis-key-sales-metrics"/>
    <w:p>
      <w:pPr>
        <w:pStyle w:val="Heading2"/>
      </w:pPr>
      <w:r>
        <w:t xml:space="preserve">Performance Analysis: Key Sales Metrics</w:t>
      </w:r>
    </w:p>
    <w:bookmarkStart w:id="22" w:name="product-category-performance"/>
    <w:p>
      <w:pPr>
        <w:pStyle w:val="Heading3"/>
      </w:pPr>
      <w:r>
        <w:t xml:space="preserve">Product Category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Sales (AED)</w:t>
            </w:r>
          </w:p>
        </w:tc>
        <w:tc>
          <w:tcPr/>
          <w:p>
            <w:pPr>
              <w:pStyle w:val="Compact"/>
              <w:jc w:val="left"/>
            </w:pPr>
            <w:r>
              <w:t xml:space="preserve">% of Total Revenue</w:t>
            </w:r>
          </w:p>
        </w:tc>
        <w:tc>
          <w:tcPr/>
          <w:p>
            <w:pPr>
              <w:pStyle w:val="Compact"/>
              <w:jc w:val="left"/>
            </w:pPr>
            <w:r>
              <w:t xml:space="preserve">YoY Growth</w:t>
            </w:r>
          </w:p>
        </w:tc>
      </w:tr>
      <w:tr>
        <w:tc>
          <w:tcPr/>
          <w:p>
            <w:pPr>
              <w:pStyle w:val="Compact"/>
              <w:jc w:val="left"/>
            </w:pPr>
            <w:r>
              <w:t xml:space="preserve">Laser Cataract Systems</w:t>
            </w:r>
          </w:p>
        </w:tc>
        <w:tc>
          <w:tcPr/>
          <w:p>
            <w:pPr>
              <w:pStyle w:val="Compact"/>
              <w:jc w:val="left"/>
            </w:pPr>
            <w:r>
              <w:t xml:space="preserve">7,250,000</w:t>
            </w:r>
          </w:p>
        </w:tc>
        <w:tc>
          <w:tcPr/>
          <w:p>
            <w:pPr>
              <w:pStyle w:val="Compact"/>
              <w:jc w:val="left"/>
            </w:pPr>
            <w:r>
              <w:t xml:space="preserve">38.8%</w:t>
            </w:r>
          </w:p>
        </w:tc>
        <w:tc>
          <w:tcPr/>
          <w:p>
            <w:pPr>
              <w:pStyle w:val="Compact"/>
              <w:jc w:val="left"/>
            </w:pPr>
            <w:r>
              <w:t xml:space="preserve">31.2%</w:t>
            </w:r>
          </w:p>
        </w:tc>
      </w:tr>
      <w:tr>
        <w:tc>
          <w:tcPr/>
          <w:p>
            <w:pPr>
              <w:pStyle w:val="Compact"/>
              <w:jc w:val="left"/>
            </w:pPr>
            <w:r>
              <w:t xml:space="preserve">Digital Retinal Scanners</w:t>
            </w:r>
          </w:p>
        </w:tc>
        <w:tc>
          <w:tcPr/>
          <w:p>
            <w:pPr>
              <w:pStyle w:val="Compact"/>
              <w:jc w:val="left"/>
            </w:pPr>
            <w:r>
              <w:t xml:space="preserve">4,950,000</w:t>
            </w:r>
          </w:p>
        </w:tc>
        <w:tc>
          <w:tcPr/>
          <w:p>
            <w:pPr>
              <w:pStyle w:val="Compact"/>
              <w:jc w:val="left"/>
            </w:pPr>
            <w:r>
              <w:t xml:space="preserve">26.4%</w:t>
            </w:r>
          </w:p>
        </w:tc>
        <w:tc>
          <w:tcPr/>
          <w:p>
            <w:pPr>
              <w:pStyle w:val="Compact"/>
              <w:jc w:val="left"/>
            </w:pPr>
            <w:r>
              <w:t xml:space="preserve">42.7%</w:t>
            </w:r>
          </w:p>
        </w:tc>
      </w:tr>
      <w:tr>
        <w:tc>
          <w:tcPr/>
          <w:p>
            <w:pPr>
              <w:pStyle w:val="Compact"/>
              <w:jc w:val="left"/>
            </w:pPr>
            <w:r>
              <w:t xml:space="preserve">Ocular Imaging Software</w:t>
            </w:r>
          </w:p>
        </w:tc>
        <w:tc>
          <w:tcPr/>
          <w:p>
            <w:pPr>
              <w:pStyle w:val="Compact"/>
              <w:jc w:val="left"/>
            </w:pPr>
            <w:r>
              <w:t xml:space="preserve">3,185,000</w:t>
            </w:r>
          </w:p>
        </w:tc>
        <w:tc>
          <w:tcPr/>
          <w:p>
            <w:pPr>
              <w:pStyle w:val="Compact"/>
              <w:jc w:val="left"/>
            </w:pPr>
            <w:r>
              <w:t xml:space="preserve">17.0%</w:t>
            </w:r>
          </w:p>
        </w:tc>
        <w:tc>
          <w:tcPr/>
          <w:p>
            <w:pPr>
              <w:pStyle w:val="Compact"/>
              <w:jc w:val="left"/>
            </w:pPr>
            <w:r>
              <w:t xml:space="preserve">29.5%</w:t>
            </w:r>
          </w:p>
        </w:tc>
      </w:tr>
      <w:tr>
        <w:tc>
          <w:tcPr/>
          <w:p>
            <w:pPr>
              <w:pStyle w:val="Compact"/>
              <w:jc w:val="left"/>
            </w:pPr>
            <w:r>
              <w:t xml:space="preserve">Cataract Surgical Kits</w:t>
            </w:r>
          </w:p>
        </w:tc>
        <w:tc>
          <w:tcPr/>
          <w:p>
            <w:pPr>
              <w:pStyle w:val="Compact"/>
              <w:jc w:val="left"/>
            </w:pPr>
            <w:r>
              <w:t xml:space="preserve">2,365,000</w:t>
            </w:r>
          </w:p>
        </w:tc>
        <w:tc>
          <w:tcPr/>
          <w:p>
            <w:pPr>
              <w:pStyle w:val="Compact"/>
              <w:jc w:val="left"/>
            </w:pPr>
            <w:r>
              <w:t xml:space="preserve">12.6%</w:t>
            </w:r>
          </w:p>
        </w:tc>
        <w:tc>
          <w:tcPr/>
          <w:p>
            <w:pPr>
              <w:pStyle w:val="Compact"/>
              <w:jc w:val="left"/>
            </w:pPr>
            <w:r>
              <w:t xml:space="preserve">18.3%</w:t>
            </w:r>
          </w:p>
        </w:tc>
      </w:tr>
      <w:tr>
        <w:tc>
          <w:tcPr/>
          <w:p>
            <w:pPr>
              <w:pStyle w:val="Compact"/>
              <w:jc w:val="left"/>
            </w:pPr>
            <w:r>
              <w:t xml:space="preserve">Dry Eye Treatment Systems</w:t>
            </w:r>
          </w:p>
        </w:tc>
        <w:tc>
          <w:tcPr/>
          <w:p>
            <w:pPr>
              <w:pStyle w:val="Compact"/>
              <w:jc w:val="left"/>
            </w:pPr>
            <w:r>
              <w:t xml:space="preserve">945,000</w:t>
            </w:r>
          </w:p>
        </w:tc>
        <w:tc>
          <w:tcPr/>
          <w:p>
            <w:pPr>
              <w:pStyle w:val="Compact"/>
              <w:jc w:val="left"/>
            </w:pPr>
            <w:r>
              <w:t xml:space="preserve">5.1%</w:t>
            </w:r>
          </w:p>
        </w:tc>
        <w:tc>
          <w:tcPr/>
          <w:p>
            <w:pPr>
              <w:pStyle w:val="Compact"/>
              <w:jc w:val="left"/>
            </w:pPr>
            <w:r>
              <w:t xml:space="preserve">37.9%</w:t>
            </w:r>
          </w:p>
        </w:tc>
      </w:tr>
    </w:tbl>
    <w:p>
      <w:pPr>
        <w:pStyle w:val="BodyText"/>
      </w:pPr>
      <w:r>
        <w:t xml:space="preserve">The laser cataract systems category led revenue generation, driven by the UAE's national vision for reducing blindness through early intervention programs. Dubai Health Authority's recent mandate requiring all public hospitals to upgrade to femtosecond laser technology accelerated this segment. Digital retinal scanners saw exceptional growth due to increased screening for diabetic retinopathy, which affects 32% of Dubai residents with diabetes.</w:t>
      </w:r>
    </w:p>
    <w:bookmarkEnd w:id="22"/>
    <w:bookmarkEnd w:id="23"/>
    <w:bookmarkStart w:id="24" w:name="strategic-partnerships-driving-sales"/>
    <w:p>
      <w:pPr>
        <w:pStyle w:val="Heading2"/>
      </w:pPr>
      <w:r>
        <w:t xml:space="preserve">Strategic Partnerships Driving Sales</w:t>
      </w:r>
    </w:p>
    <w:p>
      <w:pPr>
        <w:pStyle w:val="FirstParagraph"/>
      </w:pPr>
      <w:r>
        <w:t xml:space="preserve">Our partnership with Dubai's largest ophthalmology network, Eye Care Centers (ECC), generated AED 6.8 million in Q3 sales – representing 36% of total revenue. This collaboration included co-branded training programs for ophthalmologists on new diagnostic technologies, directly addressing the UAE's strategic focus on physician upskilling through initiatives like Dubai Health Experience (DHE). Additionally, our participation in the Dubai Health Summit 2023 resulted in 47 new enterprise contracts with private practice ophthalmologists.</w:t>
      </w:r>
    </w:p>
    <w:bookmarkEnd w:id="24"/>
    <w:bookmarkStart w:id="25" w:name="geographical-sales-distribution"/>
    <w:p>
      <w:pPr>
        <w:pStyle w:val="Heading2"/>
      </w:pPr>
      <w:r>
        <w:t xml:space="preserve">Geographical Sales Distribution</w:t>
      </w:r>
    </w:p>
    <w:p>
      <w:pPr>
        <w:pStyle w:val="FirstParagraph"/>
      </w:pPr>
      <w:r>
        <w:t xml:space="preserve">Sales performance varied significantly across Dubai's key districts:</w:t>
      </w:r>
    </w:p>
    <w:p>
      <w:pPr>
        <w:numPr>
          <w:ilvl w:val="0"/>
          <w:numId w:val="1001"/>
        </w:numPr>
        <w:pStyle w:val="Compact"/>
      </w:pPr>
      <w:r>
        <w:rPr>
          <w:bCs/>
          <w:b/>
        </w:rPr>
        <w:t xml:space="preserve">Business Bay &amp; Downtown Dubai:</w:t>
      </w:r>
      <w:r>
        <w:t xml:space="preserve"> </w:t>
      </w:r>
      <w:r>
        <w:t xml:space="preserve">Highest per-ophthalmologist spend (AED 148,000) with premium laser systems dominating sales</w:t>
      </w:r>
    </w:p>
    <w:p>
      <w:pPr>
        <w:numPr>
          <w:ilvl w:val="0"/>
          <w:numId w:val="1001"/>
        </w:numPr>
        <w:pStyle w:val="Compact"/>
      </w:pPr>
      <w:r>
        <w:rPr>
          <w:bCs/>
          <w:b/>
        </w:rPr>
        <w:t xml:space="preserve">Mirdif &amp; Jumeirah:</w:t>
      </w:r>
      <w:r>
        <w:t xml:space="preserve"> </w:t>
      </w:r>
      <w:r>
        <w:t xml:space="preserve">Strong demand for retinal imaging solutions due to high expatriate population with chronic conditions</w:t>
      </w:r>
    </w:p>
    <w:p>
      <w:pPr>
        <w:numPr>
          <w:ilvl w:val="0"/>
          <w:numId w:val="1001"/>
        </w:numPr>
        <w:pStyle w:val="Compact"/>
      </w:pPr>
      <w:r>
        <w:rPr>
          <w:bCs/>
          <w:b/>
        </w:rPr>
        <w:t xml:space="preserve">Deira &amp; Bur Dubai:</w:t>
      </w:r>
      <w:r>
        <w:t xml:space="preserve"> </w:t>
      </w:r>
      <w:r>
        <w:t xml:space="preserve">Growth in affordable diagnostic kits targeting community health centers supported by UAE government subsidies</w:t>
      </w:r>
    </w:p>
    <w:bookmarkEnd w:id="25"/>
    <w:bookmarkStart w:id="26" w:name="key-challenges-and-market-dynamics"/>
    <w:p>
      <w:pPr>
        <w:pStyle w:val="Heading2"/>
      </w:pPr>
      <w:r>
        <w:t xml:space="preserve">Key Challenges and Market Dynamics</w:t>
      </w:r>
    </w:p>
    <w:p>
      <w:pPr>
        <w:pStyle w:val="FirstParagraph"/>
      </w:pPr>
      <w:r>
        <w:t xml:space="preserve">The United Arab Emirates Dubai market presents unique challenges for ophthalmologist sales teams. Regulatory compliance requires adherence to DHA (Dubai Health Authority) standards, including mandatory CE marking for all medical devices. Additionally, the competitive landscape has intensified with 17 new international ophthalmology equipment suppliers entering the UAE market in 2023. However, these challenges are offset by significant opportunities:</w:t>
      </w:r>
    </w:p>
    <w:p>
      <w:pPr>
        <w:numPr>
          <w:ilvl w:val="0"/>
          <w:numId w:val="1002"/>
        </w:numPr>
        <w:pStyle w:val="Compact"/>
      </w:pPr>
      <w:r>
        <w:t xml:space="preserve">UAE's Vision 2030 healthcare investment of AED 58 billion, with ophthalmology designated as a priority specialty</w:t>
      </w:r>
    </w:p>
    <w:p>
      <w:pPr>
        <w:numPr>
          <w:ilvl w:val="0"/>
          <w:numId w:val="1002"/>
        </w:numPr>
        <w:pStyle w:val="Compact"/>
      </w:pPr>
      <w:r>
        <w:t xml:space="preserve">Rising patient awareness in Dubai (74% of residents now seek second opinions before ophthalmology procedures)</w:t>
      </w:r>
    </w:p>
    <w:p>
      <w:pPr>
        <w:numPr>
          <w:ilvl w:val="0"/>
          <w:numId w:val="1002"/>
        </w:numPr>
        <w:pStyle w:val="Compact"/>
      </w:pPr>
      <w:r>
        <w:t xml:space="preserve">Government incentives for teleophthalmology services – creating demand for our cloud-based diagnostic platforms</w:t>
      </w:r>
    </w:p>
    <w:bookmarkEnd w:id="26"/>
    <w:bookmarkStart w:id="27" w:name="strategic-recommendations-for-q4-2023"/>
    <w:p>
      <w:pPr>
        <w:pStyle w:val="Heading2"/>
      </w:pPr>
      <w:r>
        <w:t xml:space="preserve">Strategic Recommendations for Q4 2023</w:t>
      </w:r>
    </w:p>
    <w:p>
      <w:pPr>
        <w:numPr>
          <w:ilvl w:val="0"/>
          <w:numId w:val="1003"/>
        </w:numPr>
        <w:pStyle w:val="Compact"/>
      </w:pPr>
      <w:r>
        <w:rPr>
          <w:bCs/>
          <w:b/>
        </w:rPr>
        <w:t xml:space="preserve">Expand Teleophthalmology Solutions:</w:t>
      </w:r>
      <w:r>
        <w:t xml:space="preserve"> </w:t>
      </w:r>
      <w:r>
        <w:t xml:space="preserve">Develop UAE-specific packages with DHA-compliant data security features to capture growing remote consultation market (projected 35% CAGR in Dubai)</w:t>
      </w:r>
    </w:p>
    <w:p>
      <w:pPr>
        <w:numPr>
          <w:ilvl w:val="0"/>
          <w:numId w:val="1003"/>
        </w:numPr>
        <w:pStyle w:val="Compact"/>
      </w:pPr>
      <w:r>
        <w:rPr>
          <w:bCs/>
          <w:b/>
        </w:rPr>
        <w:t xml:space="preserve">Target Specialist Ophthalmologist Groups:</w:t>
      </w:r>
      <w:r>
        <w:t xml:space="preserve"> </w:t>
      </w:r>
      <w:r>
        <w:t xml:space="preserve">Focus on sub-specialists (retina, glaucoma) through customized training workshops at Al Jalila Foundation clinics</w:t>
      </w:r>
    </w:p>
    <w:p>
      <w:pPr>
        <w:numPr>
          <w:ilvl w:val="0"/>
          <w:numId w:val="1003"/>
        </w:numPr>
        <w:pStyle w:val="Compact"/>
      </w:pPr>
      <w:r>
        <w:rPr>
          <w:bCs/>
          <w:b/>
        </w:rPr>
        <w:t xml:space="preserve">Leverage Government Initiatives:</w:t>
      </w:r>
      <w:r>
        <w:t xml:space="preserve"> </w:t>
      </w:r>
      <w:r>
        <w:t xml:space="preserve">Align product offerings with Dubai's "National Eye Health Program" to qualify for public procurement tenders</w:t>
      </w:r>
    </w:p>
    <w:p>
      <w:pPr>
        <w:numPr>
          <w:ilvl w:val="0"/>
          <w:numId w:val="1003"/>
        </w:numPr>
        <w:pStyle w:val="Compact"/>
      </w:pPr>
      <w:r>
        <w:rPr>
          <w:bCs/>
          <w:b/>
        </w:rPr>
        <w:t xml:space="preserve">Enhance Local Support Structure:</w:t>
      </w:r>
      <w:r>
        <w:t xml:space="preserve"> </w:t>
      </w:r>
      <w:r>
        <w:t xml:space="preserve">Establish a dedicated Arabic-speaking technical support team in Dubai Knowledge Park to reduce service response times by 40%</w:t>
      </w:r>
    </w:p>
    <w:bookmarkEnd w:id="27"/>
    <w:bookmarkStart w:id="29" w:name="conclusion-future-outlook"/>
    <w:p>
      <w:pPr>
        <w:pStyle w:val="Heading2"/>
      </w:pPr>
      <w:r>
        <w:t xml:space="preserve">Conclusion: Future Outlook</w:t>
      </w:r>
    </w:p>
    <w:p>
      <w:pPr>
        <w:pStyle w:val="FirstParagraph"/>
      </w:pPr>
      <w:r>
        <w:t xml:space="preserve">The ophthalmologist sales landscape in the United Arab Emirates Dubai continues to demonstrate exceptional growth potential. With healthcare expenditure reaching 5.7% of UAE GDP and Dubai's position as the regional medical tourism capital (serving 180,000 international patients annually), the market for advanced ophthalmic solutions is poised for sustained expansion. Our Q3 performance confirms that targeted sales strategies addressing Dubai's specific regulatory environment and clinical priorities deliver superior results. Moving forward, we recommend deepening integration with Dubai's healthcare digital ecosystem to position our portfolio as the solution of choice for ophthalmologists across the emirate.</w:t>
      </w:r>
    </w:p>
    <w:p>
      <w:pPr>
        <w:pStyle w:val="BodyText"/>
      </w:pPr>
      <w:r>
        <w:rPr>
          <w:bCs/>
          <w:b/>
        </w:rPr>
        <w:t xml:space="preserve">Prepared For:</w:t>
      </w:r>
      <w:r>
        <w:t xml:space="preserve"> </w:t>
      </w:r>
      <w:r>
        <w:t xml:space="preserve">Executive Leadership Team, United Arab Emirates Dubai Operations</w:t>
      </w:r>
      <w:r>
        <w:br/>
      </w:r>
      <w:r>
        <w:rPr>
          <w:bCs/>
          <w:b/>
        </w:rPr>
        <w:t xml:space="preserve">Date:</w:t>
      </w:r>
      <w:r>
        <w:t xml:space="preserve"> </w:t>
      </w:r>
      <w:r>
        <w:t xml:space="preserve">October 15, 2023</w:t>
      </w:r>
      <w:r>
        <w:br/>
      </w:r>
      <w:r>
        <w:rPr>
          <w:bCs/>
          <w:b/>
        </w:rPr>
        <w:t xml:space="preserve">Report Period:</w:t>
      </w:r>
      <w:r>
        <w:t xml:space="preserve"> </w:t>
      </w:r>
      <w:r>
        <w:t xml:space="preserve">July 1 - September 30, 2023</w:t>
      </w:r>
    </w:p>
    <w:bookmarkStart w:id="28" w:name="acknowledgement"/>
    <w:p>
      <w:pPr>
        <w:pStyle w:val="Heading3"/>
      </w:pPr>
      <w:r>
        <w:t xml:space="preserve">Acknowledgement</w:t>
      </w:r>
    </w:p>
    <w:p>
      <w:pPr>
        <w:pStyle w:val="FirstParagraph"/>
      </w:pPr>
      <w:r>
        <w:t xml:space="preserve">This Sales Report is prepared using data from Dubai Health Authority (DHA), Statistics Center of Dubai, and internal sales analytics. All figures reflect verified transactions within the United Arab Emirates Dubai jurisdiction.</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 United Arab Emirates Dubai</dc:title>
  <dc:creator/>
  <dc:language>en</dc:language>
  <cp:keywords/>
  <dcterms:created xsi:type="dcterms:W3CDTF">2025-12-10T13:25:28Z</dcterms:created>
  <dcterms:modified xsi:type="dcterms:W3CDTF">2025-12-10T13:25:28Z</dcterms:modified>
</cp:coreProperties>
</file>

<file path=docProps/custom.xml><?xml version="1.0" encoding="utf-8"?>
<Properties xmlns="http://schemas.openxmlformats.org/officeDocument/2006/custom-properties" xmlns:vt="http://schemas.openxmlformats.org/officeDocument/2006/docPropsVTypes"/>
</file>