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Ophthalmology</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871850d1577bfdcce48fac07ab122f8b0cb2075"/>
    <w:p>
      <w:pPr>
        <w:pStyle w:val="Heading1"/>
      </w:pPr>
      <w:r>
        <w:t xml:space="preserve">Annual Sales Report: Ophthalmology Services Performance in United Kingdom Birmingham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Birmingham Eye Care Network</w:t>
      </w:r>
      <w:r>
        <w:br/>
      </w:r>
      <w:r>
        <w:rPr>
          <w:bCs/>
          <w:b/>
        </w:rPr>
        <w:t xml:space="preserve">Prepared By:</w:t>
      </w:r>
      <w:r>
        <w:t xml:space="preserve"> </w:t>
      </w:r>
      <w:r>
        <w:t xml:space="preserve">Sales Strategy Division, United Kingdom Birmingham Ophthalmology Hub</w:t>
      </w:r>
    </w:p>
    <w:bookmarkStart w:id="20" w:name="i.-executive-summary"/>
    <w:p>
      <w:pPr>
        <w:pStyle w:val="Heading2"/>
      </w:pPr>
      <w:r>
        <w:t xml:space="preserve">I. Executive Summary</w:t>
      </w:r>
    </w:p>
    <w:p>
      <w:pPr>
        <w:pStyle w:val="FirstParagraph"/>
      </w:pPr>
      <w:r>
        <w:t xml:space="preserve">This comprehensive Sales Report details the performance of ophthalmology services across our network in the United Kingdom Birmingham region for FY 2023. The report demonstrates robust growth in patient volumes, revenue streams, and strategic market positioning, confirming Birmingham as a leading hub for ophthalmological care within the United Kingdom. As we navigate evolving healthcare landscapes post-pandemic, this Sales Report underscores our Ophthalmologist team's exceptional contribution to both clinical outcomes and commercial success across Birmingham's diverse population centers.</w:t>
      </w:r>
    </w:p>
    <w:bookmarkEnd w:id="20"/>
    <w:bookmarkStart w:id="21" w:name="X275db5d4fa2e680c9d6953b261e0a1fb91ef251"/>
    <w:p>
      <w:pPr>
        <w:pStyle w:val="Heading2"/>
      </w:pPr>
      <w:r>
        <w:t xml:space="preserve">II. Market Context: Ophthalmology in Birmingham</w:t>
      </w:r>
    </w:p>
    <w:p>
      <w:pPr>
        <w:pStyle w:val="FirstParagraph"/>
      </w:pPr>
      <w:r>
        <w:t xml:space="preserve">Birmingham remains the United Kingdom's largest city outside London with a population exceeding 1.1 million residents, presenting unique ophthalmic healthcare demands. The City Council's 2030 Health Strategy identifies eye care as a priority service due to rising prevalence of diabetic retinopathy (affecting 18% of Birmingham diabetics) and age-related macular degeneration (AMD). This Sales Report analyzes how our Ophthalmologist practice has capitalized on these regional health needs. The Birmingham City Council's recent £45 million investment in community eye care facilities directly supports our strategic expansion, making this a pivotal year for ophthalmic services delivery across the United Kingdom Birmingham corridor.</w:t>
      </w:r>
    </w:p>
    <w:bookmarkEnd w:id="21"/>
    <w:bookmarkStart w:id="25" w:name="X8f1b7c8b0d02c8a7871cb4e62a14b336d80135d"/>
    <w:p>
      <w:pPr>
        <w:pStyle w:val="Heading2"/>
      </w:pPr>
      <w:r>
        <w:t xml:space="preserve">III. Sales Performance Highlights (FY 2023)</w:t>
      </w:r>
    </w:p>
    <w:bookmarkStart w:id="22" w:name="a.-patient-volume-growth"/>
    <w:p>
      <w:pPr>
        <w:pStyle w:val="Heading3"/>
      </w:pPr>
      <w:r>
        <w:t xml:space="preserve">A. Patient Volume Growth</w:t>
      </w:r>
    </w:p>
    <w:p>
      <w:pPr>
        <w:pStyle w:val="FirstParagraph"/>
      </w:pPr>
      <w:r>
        <w:t xml:space="preserve">Our Ophthalmologist team successfully increased patient consultations by 28% YoY, reaching 47,500 total encounters across Birmingham locations including the new Perry Barr Clinic (opened Q1 2023). This growth significantly outpaces the national average of 19% for ophthalmic services. Key drivers included:</w:t>
      </w:r>
    </w:p>
    <w:p>
      <w:pPr>
        <w:numPr>
          <w:ilvl w:val="0"/>
          <w:numId w:val="1001"/>
        </w:numPr>
        <w:pStyle w:val="Compact"/>
      </w:pPr>
      <w:r>
        <w:t xml:space="preserve">Expansion of diabetic retinopathy screening partnerships with Birmingham City Council's Primary Care Network</w:t>
      </w:r>
    </w:p>
    <w:p>
      <w:pPr>
        <w:numPr>
          <w:ilvl w:val="0"/>
          <w:numId w:val="1001"/>
        </w:numPr>
        <w:pStyle w:val="Compact"/>
      </w:pPr>
      <w:r>
        <w:t xml:space="preserve">Introduction of same-day cataract surgery at University Hospital Birmingham, reducing wait times by 63%</w:t>
      </w:r>
    </w:p>
    <w:p>
      <w:pPr>
        <w:numPr>
          <w:ilvl w:val="0"/>
          <w:numId w:val="1001"/>
        </w:numPr>
        <w:pStyle w:val="Compact"/>
      </w:pPr>
      <w:r>
        <w:t xml:space="preserve">Targeted outreach to Black and Asian communities in Sparkbrook and Small Heath (42% patient increase)</w:t>
      </w:r>
    </w:p>
    <w:bookmarkEnd w:id="22"/>
    <w:bookmarkStart w:id="23" w:name="b.-revenue-streams-analysis"/>
    <w:p>
      <w:pPr>
        <w:pStyle w:val="Heading3"/>
      </w:pPr>
      <w:r>
        <w:t xml:space="preserve">B. Revenue Streams Analysis</w:t>
      </w:r>
    </w:p>
    <w:p>
      <w:pPr>
        <w:pStyle w:val="FirstParagraph"/>
      </w:pPr>
      <w:r>
        <w:t xml:space="preserve">Revenue from ophthalmic services reached £14.2M in FY 2023, a 31% increase over the previous year. This Sales Report breaks down key revenue sources:</w:t>
      </w:r>
    </w:p>
    <w:p>
      <w:pPr>
        <w:pStyle w:val="BodyText"/>
      </w:pPr>
      <w:r>
        <w:t xml:space="preserve">Service Category</w:t>
      </w:r>
    </w:p>
    <w:p>
      <w:pPr>
        <w:pStyle w:val="BodyText"/>
      </w:pPr>
      <w:r>
        <w:t xml:space="preserve">Revenue (£)</w:t>
      </w:r>
    </w:p>
    <w:p>
      <w:pPr>
        <w:pStyle w:val="BodyText"/>
      </w:pPr>
      <w:r>
        <w:t xml:space="preserve">% of Total</w:t>
      </w:r>
    </w:p>
    <w:p>
      <w:pPr>
        <w:pStyle w:val="BodyText"/>
      </w:pPr>
      <w:r>
        <w:t xml:space="preserve">Growth (YoY)</w:t>
      </w:r>
    </w:p>
    <w:p>
      <w:pPr>
        <w:pStyle w:val="BodyText"/>
      </w:pPr>
      <w:r>
        <w:t xml:space="preserve">Cataract Surgery</w:t>
      </w:r>
    </w:p>
    <w:p>
      <w:pPr>
        <w:pStyle w:val="BodyText"/>
      </w:pPr>
      <w:r>
        <w:t xml:space="preserve">£6,150,000</w:t>
      </w:r>
    </w:p>
    <w:p>
      <w:pPr>
        <w:pStyle w:val="BodyText"/>
      </w:pPr>
      <w:r>
        <w:t xml:space="preserve">43.3%</w:t>
      </w:r>
    </w:p>
    <w:p>
      <w:pPr>
        <w:pStyle w:val="BodyText"/>
      </w:pPr>
      <w:r>
        <w:t xml:space="preserve">29.7%</w:t>
      </w:r>
    </w:p>
    <w:p>
      <w:pPr>
        <w:pStyle w:val="BodyText"/>
      </w:pPr>
      <w:r>
        <w:t xml:space="preserve">Dry Eye Management</w:t>
      </w:r>
    </w:p>
    <w:p>
      <w:pPr>
        <w:pStyle w:val="BodyText"/>
      </w:pPr>
      <w:r>
        <w:t xml:space="preserve">£2,875,000%</w:t>
      </w:r>
    </w:p>
    <w:p>
      <w:pPr>
        <w:pStyle w:val="BodyText"/>
      </w:pPr>
      <w:r>
        <w:t xml:space="preserve">Total Ophthalmology Revenue</w:t>
      </w:r>
    </w:p>
    <w:p>
      <w:pPr>
        <w:pStyle w:val="BodyText"/>
      </w:pPr>
      <w:r>
        <w:t xml:space="preserve">£14,200,000</w:t>
      </w:r>
    </w:p>
    <w:p>
      <w:pPr>
        <w:pStyle w:val="BodyText"/>
      </w:pPr>
      <w:r>
        <w:t xml:space="preserve">100%</w:t>
      </w:r>
    </w:p>
    <w:p>
      <w:pPr>
        <w:pStyle w:val="BodyText"/>
      </w:pPr>
      <w:r>
        <w:t xml:space="preserve">31.2%</w:t>
      </w:r>
    </w:p>
    <w:bookmarkEnd w:id="23"/>
    <w:bookmarkStart w:id="24" w:name="c.-strategic-partnerships-driving-sales"/>
    <w:p>
      <w:pPr>
        <w:pStyle w:val="Heading3"/>
      </w:pPr>
      <w:r>
        <w:t xml:space="preserve">C. Strategic Partnerships Driving Sales</w:t>
      </w:r>
    </w:p>
    <w:p>
      <w:pPr>
        <w:pStyle w:val="FirstParagraph"/>
      </w:pPr>
      <w:r>
        <w:t xml:space="preserve">This Sales Report identifies two transformative partnerships:</w:t>
      </w:r>
    </w:p>
    <w:p>
      <w:pPr>
        <w:numPr>
          <w:ilvl w:val="0"/>
          <w:numId w:val="1002"/>
        </w:numPr>
        <w:pStyle w:val="Compact"/>
      </w:pPr>
      <w:r>
        <w:rPr>
          <w:bCs/>
          <w:b/>
        </w:rPr>
        <w:t xml:space="preserve">Birmingham Health &amp; Care Partnership (BHCP):</w:t>
      </w:r>
      <w:r>
        <w:t xml:space="preserve"> </w:t>
      </w:r>
      <w:r>
        <w:t xml:space="preserve">Exclusive contract for NHS-funded eye screening at 12 community centers, generating £3.8M in new revenue and capturing 12,000 high-risk patients annually.</w:t>
      </w:r>
    </w:p>
    <w:p>
      <w:pPr>
        <w:numPr>
          <w:ilvl w:val="0"/>
          <w:numId w:val="1002"/>
        </w:numPr>
        <w:pStyle w:val="Compact"/>
      </w:pPr>
      <w:r>
        <w:rPr>
          <w:bCs/>
          <w:b/>
        </w:rPr>
        <w:t xml:space="preserve">Local Employers Initiative:</w:t>
      </w:r>
      <w:r>
        <w:t xml:space="preserve"> </w:t>
      </w:r>
      <w:r>
        <w:t xml:space="preserve">Collaborated with major Birmingham employers (including Jaguar Land Rover and University of Birmingham) to provide on-site vision assessments for 8,500 staff members – a new sales channel that contributed £1.1M in corporate contracts.</w:t>
      </w:r>
    </w:p>
    <w:bookmarkEnd w:id="24"/>
    <w:bookmarkEnd w:id="25"/>
    <w:bookmarkStart w:id="26" w:name="iv.-ophthalmologist-performance-metrics"/>
    <w:p>
      <w:pPr>
        <w:pStyle w:val="Heading2"/>
      </w:pPr>
      <w:r>
        <w:t xml:space="preserve">IV. Ophthalmologist Performance Metrics</w:t>
      </w:r>
    </w:p>
    <w:p>
      <w:pPr>
        <w:pStyle w:val="FirstParagraph"/>
      </w:pPr>
      <w:r>
        <w:t xml:space="preserve">Our clinical teams' commercial impact is directly reflected in these key metrics from the United Kingdom Birmingham market:</w:t>
      </w:r>
    </w:p>
    <w:p>
      <w:pPr>
        <w:numPr>
          <w:ilvl w:val="0"/>
          <w:numId w:val="1003"/>
        </w:numPr>
        <w:pStyle w:val="Compact"/>
      </w:pPr>
      <w:r>
        <w:rPr>
          <w:bCs/>
          <w:b/>
        </w:rPr>
        <w:t xml:space="preserve">Patient Retention Rate:</w:t>
      </w:r>
      <w:r>
        <w:t xml:space="preserve"> </w:t>
      </w:r>
      <w:r>
        <w:t xml:space="preserve">87% (vs. national average of 76%) – demonstrating exceptional patient loyalty</w:t>
      </w:r>
    </w:p>
    <w:p>
      <w:pPr>
        <w:numPr>
          <w:ilvl w:val="0"/>
          <w:numId w:val="1003"/>
        </w:numPr>
        <w:pStyle w:val="Compact"/>
      </w:pPr>
      <w:r>
        <w:rPr>
          <w:bCs/>
          <w:b/>
        </w:rPr>
        <w:t xml:space="preserve">Revenue per Ophthalmologist:</w:t>
      </w:r>
      <w:r>
        <w:t xml:space="preserve"> </w:t>
      </w:r>
      <w:r>
        <w:t xml:space="preserve">£1.24M (highest in Midlands region)</w:t>
      </w:r>
    </w:p>
    <w:p>
      <w:pPr>
        <w:numPr>
          <w:ilvl w:val="0"/>
          <w:numId w:val="1003"/>
        </w:numPr>
        <w:pStyle w:val="Compact"/>
      </w:pPr>
      <w:r>
        <w:rPr>
          <w:bCs/>
          <w:b/>
        </w:rPr>
        <w:t xml:space="preserve">Patient Satisfaction Score:</w:t>
      </w:r>
      <w:r>
        <w:t xml:space="preserve"> </w:t>
      </w:r>
      <w:r>
        <w:t xml:space="preserve">4.8/5 (Birmingham's highest-rated eye care provider for 3 consecutive years)</w:t>
      </w:r>
    </w:p>
    <w:bookmarkEnd w:id="26"/>
    <w:bookmarkStart w:id="27" w:name="Xb94b3d743b070f86140be28f18e62081d78e7f9"/>
    <w:p>
      <w:pPr>
        <w:pStyle w:val="Heading2"/>
      </w:pPr>
      <w:r>
        <w:t xml:space="preserve">V. Challenges Addressed in This Sales Report</w:t>
      </w:r>
    </w:p>
    <w:p>
      <w:pPr>
        <w:pStyle w:val="FirstParagraph"/>
      </w:pPr>
      <w:r>
        <w:t xml:space="preserve">Birmingham's ophthalmic market presents distinct challenges that our Sales Report methodology has successfully navigated:</w:t>
      </w:r>
    </w:p>
    <w:p>
      <w:pPr>
        <w:numPr>
          <w:ilvl w:val="0"/>
          <w:numId w:val="1004"/>
        </w:numPr>
        <w:pStyle w:val="Compact"/>
      </w:pPr>
      <w:r>
        <w:rPr>
          <w:bCs/>
          <w:b/>
        </w:rPr>
        <w:t xml:space="preserve">Workforce Shortages:</w:t>
      </w:r>
      <w:r>
        <w:t xml:space="preserve"> </w:t>
      </w:r>
      <w:r>
        <w:t xml:space="preserve">Implemented a successful recruitment drive targeting Midlands medical graduates, reducing Ophthalmologist vacancy rates from 18% to 4% within 9 months.</w:t>
      </w:r>
    </w:p>
    <w:p>
      <w:pPr>
        <w:numPr>
          <w:ilvl w:val="0"/>
          <w:numId w:val="1004"/>
        </w:numPr>
        <w:pStyle w:val="Compact"/>
      </w:pPr>
      <w:r>
        <w:rPr>
          <w:bCs/>
          <w:b/>
        </w:rPr>
        <w:t xml:space="preserve">Technological Adoption:</w:t>
      </w:r>
      <w:r>
        <w:t xml:space="preserve"> </w:t>
      </w:r>
      <w:r>
        <w:t xml:space="preserve">Deployed AI-driven retinal analysis tools across Birmingham clinics (supported by NHS Digital funding), improving diagnostic speed by 50% and enabling new revenue streams through data analytics services.</w:t>
      </w:r>
    </w:p>
    <w:bookmarkEnd w:id="27"/>
    <w:bookmarkStart w:id="28" w:name="vi.-future-growth-strategy-2024-2025"/>
    <w:p>
      <w:pPr>
        <w:pStyle w:val="Heading2"/>
      </w:pPr>
      <w:r>
        <w:t xml:space="preserve">VI. Future Growth Strategy (2024-2025)</w:t>
      </w:r>
    </w:p>
    <w:p>
      <w:pPr>
        <w:pStyle w:val="FirstParagraph"/>
      </w:pPr>
      <w:r>
        <w:t xml:space="preserve">Building on this year's success, this Sales Report outlines three priority initiatives for United Kingdom Birmingham:</w:t>
      </w:r>
    </w:p>
    <w:p>
      <w:pPr>
        <w:numPr>
          <w:ilvl w:val="0"/>
          <w:numId w:val="1005"/>
        </w:numPr>
        <w:pStyle w:val="Compact"/>
      </w:pPr>
      <w:r>
        <w:rPr>
          <w:bCs/>
          <w:b/>
        </w:rPr>
        <w:t xml:space="preserve">Birmingham Vision Hub Expansion:</w:t>
      </w:r>
      <w:r>
        <w:t xml:space="preserve"> </w:t>
      </w:r>
      <w:r>
        <w:t xml:space="preserve">Opening a second specialized clinic in Edgbaston to serve high-value private patients, projected to generate £2.5M in new revenue by Q3 2025.</w:t>
      </w:r>
    </w:p>
    <w:p>
      <w:pPr>
        <w:numPr>
          <w:ilvl w:val="0"/>
          <w:numId w:val="1005"/>
        </w:numPr>
        <w:pStyle w:val="Compact"/>
      </w:pPr>
      <w:r>
        <w:rPr>
          <w:bCs/>
          <w:b/>
        </w:rPr>
        <w:t xml:space="preserve">Digital Transformation:</w:t>
      </w:r>
      <w:r>
        <w:t xml:space="preserve"> </w:t>
      </w:r>
      <w:r>
        <w:t xml:space="preserve">Implementing a unified tele-ophthalmology platform connecting all Birmingham clinics, targeting 40% of routine consultations through digital channels by end of FY 2024.</w:t>
      </w:r>
    </w:p>
    <w:p>
      <w:pPr>
        <w:numPr>
          <w:ilvl w:val="0"/>
          <w:numId w:val="1005"/>
        </w:numPr>
        <w:pStyle w:val="Compact"/>
      </w:pPr>
      <w:r>
        <w:rPr>
          <w:bCs/>
          <w:b/>
        </w:rPr>
        <w:t xml:space="preserve">Community Health Equity Program:</w:t>
      </w:r>
      <w:r>
        <w:t xml:space="preserve"> </w:t>
      </w:r>
      <w:r>
        <w:t xml:space="preserve">Partnering with Birmingham City Council to provide free eye screenings for low-income communities (target: 5,000 screenings in 2024), enhancing our social license to operate while identifying new patient pathways.</w:t>
      </w:r>
    </w:p>
    <w:bookmarkEnd w:id="28"/>
    <w:bookmarkStart w:id="29" w:name="Xb73a1dd834c854499a59d2a5d7b4dcb094fc575"/>
    <w:p>
      <w:pPr>
        <w:pStyle w:val="Heading2"/>
      </w:pPr>
      <w:r>
        <w:t xml:space="preserve">VII. Conclusion: The Birmingham Ophthalmology Advantage</w:t>
      </w:r>
    </w:p>
    <w:p>
      <w:pPr>
        <w:pStyle w:val="FirstParagraph"/>
      </w:pPr>
      <w:r>
        <w:t xml:space="preserve">This Sales Report conclusively demonstrates that our ophthalmology services have become a cornerstone of Birmingham's healthcare ecosystem within the United Kingdom. The strategic integration of clinical excellence with commercial acumen – driven by our exceptional Ophthalmologist team – has created a sustainable growth model unmatched in the Midlands region. As Birmingham continues to grow as the UK's second city, our proven ability to deliver both superior patient outcomes and strong financial returns positions us for continued market leadership.</w:t>
      </w:r>
    </w:p>
    <w:p>
      <w:pPr>
        <w:pStyle w:val="BodyText"/>
      </w:pPr>
      <w:r>
        <w:t xml:space="preserve">With 30% of all ophthalmic procedures in the West Midlands now delivered through our Birmingham network, this Sales Report confirms that strategic investment in United Kingdom Birmingham has yielded exceptional returns. We project sustained double-digit growth for 2024, driven by demographic trends and our market-leading service offerings. The future of ophthalmology in Birmingham isn't just about eye care – it's about building a commercial health ecosystem where clinical excellence and patient value create unstoppable momentum.</w:t>
      </w:r>
    </w:p>
    <w:p>
      <w:pPr>
        <w:pStyle w:val="BodyText"/>
      </w:pPr>
      <w:r>
        <w:rPr>
          <w:iCs/>
          <w:i/>
        </w:rPr>
        <w:t xml:space="preserve">Prepared with strategic insight for the United Kingdom Birmingham healthcare landscape</w:t>
      </w:r>
    </w:p>
    <w:p>
      <w:pPr>
        <w:pStyle w:val="BodyText"/>
      </w:pPr>
      <w:r>
        <w:rPr>
          <w:bCs/>
          <w:b/>
        </w:rPr>
        <w:t xml:space="preserve">End of Report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Ophthalmology Services in United Kingdom Birmingham</dc:title>
  <dc:creator/>
  <dc:language>en</dc:language>
  <cp:keywords/>
  <dcterms:created xsi:type="dcterms:W3CDTF">2025-12-10T07:54:09Z</dcterms:created>
  <dcterms:modified xsi:type="dcterms:W3CDTF">2025-12-10T07:54:09Z</dcterms:modified>
</cp:coreProperties>
</file>

<file path=docProps/custom.xml><?xml version="1.0" encoding="utf-8"?>
<Properties xmlns="http://schemas.openxmlformats.org/officeDocument/2006/custom-properties" xmlns:vt="http://schemas.openxmlformats.org/officeDocument/2006/docPropsVTypes"/>
</file>