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Ophthalmology</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7" w:name="Xe9d59b7eeb1e7ba0e9258beacc3220c14aa6d0b"/>
    <w:p>
      <w:pPr>
        <w:pStyle w:val="Heading1"/>
      </w:pPr>
      <w:r>
        <w:t xml:space="preserve">Comprehensive Sales Performance Report: Ophthalmology Services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London Healthcare Group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ophthalmology services across London-based practices within the United Kingdom healthcare landscape. The quarter demonstrated robust growth in premium eye care services, with a 14.7% year-over-year increase in revenue for our ophthalmologist network. Key drivers include rising demand for age-related macular degeneration (AMD) treatments, cataract surgery expansion, and digital diagnostic adoption. London's unique demographic profile—characterized by an aging population (18% aged 65+) and high-income households—has positioned our ophthalmology services as critical in the United Kingdom healthcare ecosystem. This report confirms that strategic investments in specialized ophthalmologist expertise directly correlate with market leadership in metropolitan London.</w:t>
      </w:r>
    </w:p>
    <w:bookmarkEnd w:id="20"/>
    <w:bookmarkStart w:id="21" w:name="Xfbdfa6b5d6aa0a6fa13f70e30b704c93caaa57f"/>
    <w:p>
      <w:pPr>
        <w:pStyle w:val="Heading2"/>
      </w:pPr>
      <w:r>
        <w:t xml:space="preserve">II. Market Context: Ophthalmology Demand in London, United Kingdom</w:t>
      </w:r>
    </w:p>
    <w:p>
      <w:pPr>
        <w:pStyle w:val="FirstParagraph"/>
      </w:pPr>
      <w:r>
        <w:t xml:space="preserve">London’s ophthalmology market is experiencing unprecedented growth due to three converging factors:</w:t>
      </w:r>
    </w:p>
    <w:p>
      <w:pPr>
        <w:numPr>
          <w:ilvl w:val="0"/>
          <w:numId w:val="1001"/>
        </w:numPr>
        <w:pStyle w:val="Compact"/>
      </w:pPr>
      <w:r>
        <w:rPr>
          <w:bCs/>
          <w:b/>
        </w:rPr>
        <w:t xml:space="preserve">Demographic Shifts:</w:t>
      </w:r>
      <w:r>
        <w:t xml:space="preserve"> </w:t>
      </w:r>
      <w:r>
        <w:t xml:space="preserve">The UK's oldest population in Europe (19.5% aged 65+) drives 68% of London's ophthalmology demand, with cataract cases increasing by 22% annually.</w:t>
      </w:r>
    </w:p>
    <w:p>
      <w:pPr>
        <w:numPr>
          <w:ilvl w:val="0"/>
          <w:numId w:val="1001"/>
        </w:numPr>
        <w:pStyle w:val="Compact"/>
      </w:pPr>
      <w:r>
        <w:rPr>
          <w:bCs/>
          <w:b/>
        </w:rPr>
        <w:t xml:space="preserve">Healthcare Priorities:</w:t>
      </w:r>
      <w:r>
        <w:t xml:space="preserve"> </w:t>
      </w:r>
      <w:r>
        <w:t xml:space="preserve">NHS England has prioritized eye health funding, allocating £370M for ophthalmology services in the London region for 2023/24—a 15% increase from previous year.</w:t>
      </w:r>
    </w:p>
    <w:p>
      <w:pPr>
        <w:numPr>
          <w:ilvl w:val="0"/>
          <w:numId w:val="1001"/>
        </w:numPr>
        <w:pStyle w:val="Compact"/>
      </w:pPr>
      <w:r>
        <w:rPr>
          <w:bCs/>
          <w:b/>
        </w:rPr>
        <w:t xml:space="preserve">Economic Factors:</w:t>
      </w:r>
      <w:r>
        <w:t xml:space="preserve"> </w:t>
      </w:r>
      <w:r>
        <w:t xml:space="preserve">Disposable income in London (average £48,000) enables private consultations and premium treatments, with 37% of ophthalmologist patients opting for out-of-pocket services.</w:t>
      </w:r>
    </w:p>
    <w:p>
      <w:pPr>
        <w:pStyle w:val="FirstParagraph"/>
      </w:pPr>
      <w:r>
        <w:t xml:space="preserve">The United Kingdom's National Ophthalmic Advisory Group reports that London accounts for 28% of all UK ophthalmology procedures despite housing only 14% of the national population, highlighting the market's density and demand intensity.</w:t>
      </w:r>
    </w:p>
    <w:bookmarkEnd w:id="21"/>
    <w:bookmarkStart w:id="22" w:name="iii.-sales-performance-analysis-q3-2023"/>
    <w:p>
      <w:pPr>
        <w:pStyle w:val="Heading2"/>
      </w:pPr>
      <w:r>
        <w:t xml:space="preserve">III. Sales Performance Analysis (Q3 2023)</w:t>
      </w:r>
    </w:p>
    <w:p>
      <w:pPr>
        <w:pStyle w:val="FirstParagraph"/>
      </w:pPr>
      <w:r>
        <w:rPr>
          <w:bCs/>
          <w:b/>
        </w:rPr>
        <w:t xml:space="preserve">Revenue Highlights:</w:t>
      </w:r>
    </w:p>
    <w:p>
      <w:pPr>
        <w:pStyle w:val="BodyText"/>
      </w:pPr>
      <w:r>
        <w:t xml:space="preserve">Service Category</w:t>
      </w:r>
    </w:p>
    <w:p>
      <w:pPr>
        <w:pStyle w:val="BodyText"/>
      </w:pPr>
      <w:r>
        <w:t xml:space="preserve">Q3 2023 Revenue (£)</w:t>
      </w:r>
    </w:p>
    <w:p>
      <w:pPr>
        <w:pStyle w:val="BodyText"/>
      </w:pPr>
      <w:r>
        <w:t xml:space="preserve">% YoY Change</w:t>
      </w:r>
    </w:p>
    <w:p>
      <w:pPr>
        <w:pStyle w:val="BodyText"/>
      </w:pPr>
      <w:r>
        <w:t xml:space="preserve">Market Share (London)</w:t>
      </w:r>
    </w:p>
    <w:p>
      <w:pPr>
        <w:pStyle w:val="BodyText"/>
      </w:pPr>
      <w:r>
        <w:t xml:space="preserve">Cataract Surgery</w:t>
      </w:r>
    </w:p>
    <w:p>
      <w:pPr>
        <w:pStyle w:val="BodyText"/>
      </w:pPr>
      <w:r>
        <w:t xml:space="preserve">£1,845,000</w:t>
      </w:r>
    </w:p>
    <w:p>
      <w:pPr>
        <w:pStyle w:val="BodyText"/>
      </w:pPr>
      <w:r>
        <w:t xml:space="preserve">+19.2%</w:t>
      </w:r>
    </w:p>
    <w:p>
      <w:pPr>
        <w:pStyle w:val="BodyText"/>
      </w:pPr>
      <w:r>
        <w:t xml:space="preserve">34.6%</w:t>
      </w:r>
    </w:p>
    <w:p>
      <w:pPr>
        <w:pStyle w:val="BodyText"/>
      </w:pPr>
      <w:r>
        <w:t xml:space="preserve">AMD Treatment</w:t>
      </w:r>
    </w:p>
    <w:p>
      <w:pPr>
        <w:pStyle w:val="BodyText"/>
      </w:pPr>
      <w:r>
        <w:t xml:space="preserve">£728,500</w:t>
      </w:r>
    </w:p>
    <w:p>
      <w:pPr>
        <w:pStyle w:val="BodyText"/>
      </w:pPr>
      <w:r>
        <w:t xml:space="preserve">+27.8%</w:t>
      </w:r>
    </w:p>
    <w:p>
      <w:pPr>
        <w:pStyle w:val="BodyText"/>
      </w:pPr>
      <w:r>
        <w:t xml:space="preserve">Digital Diagnostics (Optical Coherence Tomography)</w:t>
      </w:r>
    </w:p>
    <w:p>
      <w:pPr>
        <w:pStyle w:val="BodyText"/>
      </w:pPr>
      <w:r>
        <w:t xml:space="preserve">£312,400</w:t>
      </w:r>
    </w:p>
    <w:p>
      <w:pPr>
        <w:pStyle w:val="BodyText"/>
      </w:pPr>
      <w:r>
        <w:t xml:space="preserve">Total Ophthalmologist Revenue</w:t>
      </w:r>
    </w:p>
    <w:p>
      <w:pPr>
        <w:pStyle w:val="BodyText"/>
      </w:pPr>
      <w:r>
        <w:t xml:space="preserve">£3,145,900</w:t>
      </w:r>
    </w:p>
    <w:p>
      <w:pPr>
        <w:pStyle w:val="BodyText"/>
      </w:pPr>
      <w:r>
        <w:t xml:space="preserve">+14.7%</w:t>
      </w:r>
    </w:p>
    <w:p>
      <w:pPr>
        <w:pStyle w:val="BodyText"/>
      </w:pPr>
      <w:r>
        <w:t xml:space="preserve">82.3% (vs. competitors)</w:t>
      </w:r>
    </w:p>
    <w:p>
      <w:pPr>
        <w:pStyle w:val="BodyText"/>
      </w:pPr>
      <w:r>
        <w:t xml:space="preserve">Premium Consultations (Private)</w:t>
      </w:r>
    </w:p>
    <w:p>
      <w:pPr>
        <w:pStyle w:val="BodyText"/>
      </w:pPr>
      <w:r>
        <w:t xml:space="preserve">£698,700</w:t>
      </w:r>
    </w:p>
    <w:p>
      <w:pPr>
        <w:pStyle w:val="BodyText"/>
      </w:pPr>
      <w:r>
        <w:t xml:space="preserve">+12.3%</w:t>
      </w:r>
    </w:p>
    <w:p>
      <w:pPr>
        <w:pStyle w:val="BodyText"/>
      </w:pPr>
      <w:r>
        <w:t xml:space="preserve">Key insights:</w:t>
      </w:r>
    </w:p>
    <w:p>
      <w:pPr>
        <w:numPr>
          <w:ilvl w:val="0"/>
          <w:numId w:val="1002"/>
        </w:numPr>
        <w:pStyle w:val="Compact"/>
      </w:pPr>
      <w:r>
        <w:t xml:space="preserve">Cataract surgery revenue exceeded projections by 18% due to a 35% increase in referrals from London-based general practitioners.</w:t>
      </w:r>
    </w:p>
    <w:p>
      <w:pPr>
        <w:numPr>
          <w:ilvl w:val="0"/>
          <w:numId w:val="1002"/>
        </w:numPr>
        <w:pStyle w:val="Compact"/>
      </w:pPr>
      <w:r>
        <w:t xml:space="preserve">AMD treatment growth is directly tied to the rollout of anti-VEGF therapies, with ophthalmologist-led clinics handling 62% of London's new cases.</w:t>
      </w:r>
    </w:p>
    <w:p>
      <w:pPr>
        <w:numPr>
          <w:ilvl w:val="0"/>
          <w:numId w:val="1002"/>
        </w:numPr>
        <w:pStyle w:val="Compact"/>
      </w:pPr>
      <w:r>
        <w:t xml:space="preserve">Digital diagnostic adoption reached 89% across our network—surpassing the UK national average of 74%—driven by ophthalmologist advocacy for precision medicine.</w:t>
      </w:r>
    </w:p>
    <w:bookmarkEnd w:id="22"/>
    <w:bookmarkStart w:id="23" w:name="Xccdd68554f58a3357845e39fa379774701a0571"/>
    <w:p>
      <w:pPr>
        <w:pStyle w:val="Heading2"/>
      </w:pPr>
      <w:r>
        <w:t xml:space="preserve">IV. Regional Performance Breakdown: London Specifics</w:t>
      </w:r>
    </w:p>
    <w:p>
      <w:pPr>
        <w:pStyle w:val="FirstParagraph"/>
      </w:pPr>
      <w:r>
        <w:t xml:space="preserve">London's geographic segmentation reveals critical opportunities:</w:t>
      </w:r>
    </w:p>
    <w:p>
      <w:pPr>
        <w:numPr>
          <w:ilvl w:val="0"/>
          <w:numId w:val="1003"/>
        </w:numPr>
        <w:pStyle w:val="Compact"/>
      </w:pPr>
      <w:r>
        <w:rPr>
          <w:bCs/>
          <w:b/>
        </w:rPr>
        <w:t xml:space="preserve">Central London (City, Westminster, Camden):</w:t>
      </w:r>
      <w:r>
        <w:t xml:space="preserve"> </w:t>
      </w:r>
      <w:r>
        <w:t xml:space="preserve">Highest revenue density (£142k/sq km) driven by corporate wellness programs and private payers. Ophthalmologist consultations here increased 23% YoY.</w:t>
      </w:r>
    </w:p>
    <w:p>
      <w:pPr>
        <w:numPr>
          <w:ilvl w:val="0"/>
          <w:numId w:val="1003"/>
        </w:numPr>
        <w:pStyle w:val="Compact"/>
      </w:pPr>
      <w:r>
        <w:rPr>
          <w:bCs/>
          <w:b/>
        </w:rPr>
        <w:t xml:space="preserve">Outer London (Brent, Croydon):</w:t>
      </w:r>
      <w:r>
        <w:t xml:space="preserve"> </w:t>
      </w:r>
      <w:r>
        <w:t xml:space="preserve">29% growth in NHS-funded cataract surgeries due to targeted community screenings. This segment represents our fastest-growing patient acquisition channel.</w:t>
      </w:r>
    </w:p>
    <w:p>
      <w:pPr>
        <w:numPr>
          <w:ilvl w:val="0"/>
          <w:numId w:val="1003"/>
        </w:numPr>
        <w:pStyle w:val="Compact"/>
      </w:pPr>
      <w:r>
        <w:rPr>
          <w:bCs/>
          <w:b/>
        </w:rPr>
        <w:t xml:space="preserve">Safety Net Clinics:</w:t>
      </w:r>
      <w:r>
        <w:t xml:space="preserve"> </w:t>
      </w:r>
      <w:r>
        <w:t xml:space="preserve">Partnerships with London boroughs reduced no-show rates by 21% through SMS reminders, improving ophthalmologist utilization efficiency by 37%.</w:t>
      </w:r>
    </w:p>
    <w:bookmarkEnd w:id="23"/>
    <w:bookmarkStart w:id="24" w:name="Xb1ae62ee98c9c95e0e8a23a7bbed6587d72dbf8"/>
    <w:p>
      <w:pPr>
        <w:pStyle w:val="Heading2"/>
      </w:pPr>
      <w:r>
        <w:t xml:space="preserve">V. Competitive Landscape in United Kingdom London</w:t>
      </w:r>
    </w:p>
    <w:p>
      <w:pPr>
        <w:pStyle w:val="FirstParagraph"/>
      </w:pPr>
      <w:r>
        <w:t xml:space="preserve">Our market position is strengthened through three strategic differentiators:</w:t>
      </w:r>
    </w:p>
    <w:p>
      <w:pPr>
        <w:numPr>
          <w:ilvl w:val="0"/>
          <w:numId w:val="1004"/>
        </w:numPr>
        <w:pStyle w:val="Compact"/>
      </w:pPr>
      <w:r>
        <w:rPr>
          <w:bCs/>
          <w:b/>
        </w:rPr>
        <w:t xml:space="preserve">Ophthalmologist Specialization:</w:t>
      </w:r>
      <w:r>
        <w:t xml:space="preserve"> </w:t>
      </w:r>
      <w:r>
        <w:t xml:space="preserve">Unlike general clinics, 94% of our practitioners hold subspecialty certifications (e.g., vitreoretinal surgery), attracting 61% of London's high-value patients.</w:t>
      </w:r>
    </w:p>
    <w:p>
      <w:pPr>
        <w:numPr>
          <w:ilvl w:val="0"/>
          <w:numId w:val="1004"/>
        </w:numPr>
        <w:pStyle w:val="Compact"/>
      </w:pPr>
      <w:r>
        <w:rPr>
          <w:bCs/>
          <w:b/>
        </w:rPr>
        <w:t xml:space="preserve">NHS Partnership Depth:</w:t>
      </w:r>
      <w:r>
        <w:t xml:space="preserve"> </w:t>
      </w:r>
      <w:r>
        <w:t xml:space="preserve">We manage 72.3% of the NHS ophthalmology contracts across Greater London, far exceeding competitors' average of 48%. This ensures consistent referral streams for our ophthalmologists.</w:t>
      </w:r>
    </w:p>
    <w:p>
      <w:pPr>
        <w:numPr>
          <w:ilvl w:val="0"/>
          <w:numId w:val="1004"/>
        </w:numPr>
        <w:pStyle w:val="Compact"/>
      </w:pPr>
      <w:r>
        <w:rPr>
          <w:bCs/>
          <w:b/>
        </w:rPr>
        <w:t xml:space="preserve">Technology Integration:</w:t>
      </w:r>
      <w:r>
        <w:t xml:space="preserve"> </w:t>
      </w:r>
      <w:r>
        <w:t xml:space="preserve">Our cloud-based diagnostic platform (adopted by 100% of London practices) reduces patient wait times by 41%, a key factor in patient retention.</w:t>
      </w:r>
    </w:p>
    <w:bookmarkEnd w:id="24"/>
    <w:bookmarkStart w:id="25" w:name="vi.-challenges-strategic-recommendations"/>
    <w:p>
      <w:pPr>
        <w:pStyle w:val="Heading2"/>
      </w:pPr>
      <w:r>
        <w:t xml:space="preserve">VI. Challenges &amp; Strategic Recommendations</w:t>
      </w:r>
    </w:p>
    <w:p>
      <w:pPr>
        <w:pStyle w:val="FirstParagraph"/>
      </w:pPr>
      <w:r>
        <w:rPr>
          <w:bCs/>
          <w:b/>
        </w:rPr>
        <w:t xml:space="preserve">Key Challenges:</w:t>
      </w:r>
    </w:p>
    <w:p>
      <w:pPr>
        <w:numPr>
          <w:ilvl w:val="0"/>
          <w:numId w:val="1005"/>
        </w:numPr>
        <w:pStyle w:val="Compact"/>
      </w:pPr>
      <w:r>
        <w:t xml:space="preserve">The NHS waiting list for ophthalmology services in London has increased to 14 weeks (up from 10 weeks in Q2), risking patient attrition.</w:t>
      </w:r>
    </w:p>
    <w:p>
      <w:pPr>
        <w:numPr>
          <w:ilvl w:val="0"/>
          <w:numId w:val="1005"/>
        </w:numPr>
        <w:pStyle w:val="Compact"/>
      </w:pPr>
      <w:r>
        <w:t xml:space="preserve">Competition from private providers is intensifying in Central London, with three new clinics launching in Q3.</w:t>
      </w:r>
    </w:p>
    <w:p>
      <w:pPr>
        <w:pStyle w:val="FirstParagraph"/>
      </w:pPr>
      <w:r>
        <w:rPr>
          <w:bCs/>
          <w:b/>
        </w:rPr>
        <w:t xml:space="preserve">Strategic Recommendations:</w:t>
      </w:r>
    </w:p>
    <w:p>
      <w:pPr>
        <w:numPr>
          <w:ilvl w:val="0"/>
          <w:numId w:val="1006"/>
        </w:numPr>
        <w:pStyle w:val="Compact"/>
      </w:pPr>
      <w:r>
        <w:rPr>
          <w:bCs/>
          <w:b/>
        </w:rPr>
        <w:t xml:space="preserve">Expand Community Screening Programs:</w:t>
      </w:r>
      <w:r>
        <w:t xml:space="preserve"> </w:t>
      </w:r>
      <w:r>
        <w:t xml:space="preserve">Partner with 15+ London boroughs to conduct free diabetic retinopathy screenings at community centers. Projected impact: 800 additional high-risk patients per quarter.</w:t>
      </w:r>
    </w:p>
    <w:p>
      <w:pPr>
        <w:numPr>
          <w:ilvl w:val="0"/>
          <w:numId w:val="1006"/>
        </w:numPr>
        <w:pStyle w:val="Compact"/>
      </w:pPr>
      <w:r>
        <w:rPr>
          <w:bCs/>
          <w:b/>
        </w:rPr>
        <w:t xml:space="preserve">Ophthalmologist Upskilling Initiative:</w:t>
      </w:r>
      <w:r>
        <w:t xml:space="preserve"> </w:t>
      </w:r>
      <w:r>
        <w:t xml:space="preserve">Invest £250k in AI diagnostic training for all London-based ophthalmologists by Q1 2024. This addresses the UK's shortage of retinal specialists (only 3.7 per 100,000 people).</w:t>
      </w:r>
    </w:p>
    <w:p>
      <w:pPr>
        <w:numPr>
          <w:ilvl w:val="0"/>
          <w:numId w:val="1006"/>
        </w:numPr>
        <w:pStyle w:val="Compact"/>
      </w:pPr>
      <w:r>
        <w:rPr>
          <w:bCs/>
          <w:b/>
        </w:rPr>
        <w:t xml:space="preserve">Private-Public Hybrid Model:</w:t>
      </w:r>
      <w:r>
        <w:t xml:space="preserve"> </w:t>
      </w:r>
      <w:r>
        <w:t xml:space="preserve">Launch "NHS Plus" tier for London patients—combining NHS waitlists with premium digital consultations—to capture revenue from time-sensitive cases.</w:t>
      </w:r>
    </w:p>
    <w:bookmarkEnd w:id="25"/>
    <w:bookmarkStart w:id="26" w:name="vii.-conclusion"/>
    <w:p>
      <w:pPr>
        <w:pStyle w:val="Heading2"/>
      </w:pPr>
      <w:r>
        <w:t xml:space="preserve">VII. Conclusion</w:t>
      </w:r>
    </w:p>
    <w:p>
      <w:pPr>
        <w:pStyle w:val="FirstParagraph"/>
      </w:pPr>
      <w:r>
        <w:t xml:space="preserve">The Q3 Sales Report confirms that ophthalmology services in the United Kingdom London market are not merely growing—they are becoming a cornerstone of metropolitan healthcare strategy. Our data proves that specialized ophthalmologist expertise directly translates to competitive advantage: practices with board-certified ophthalmologists achieve 2.3x higher patient retention and 17% greater revenue per consultation than general clinics in London. As the UK government accelerates eye health initiatives through its National Eye Health Plan, our strategic focus on London-specific demand patterns positions us to capture an additional 15-20% market share by Q2 2024. The future of ophthalmology in United Kingdom healthcare hinges on data-driven resource allocation and physician-led service innovation—principles we have rigorously implemented across our London network.</w:t>
      </w:r>
    </w:p>
    <w:p>
      <w:pPr>
        <w:pStyle w:val="BodyText"/>
      </w:pPr>
      <w:r>
        <w:rPr>
          <w:bCs/>
          <w:b/>
        </w:rPr>
        <w:t xml:space="preserve">Prepared By:</w:t>
      </w:r>
      <w:r>
        <w:t xml:space="preserve"> </w:t>
      </w:r>
      <w:r>
        <w:t xml:space="preserve">Healthcare Strategy Division, London Operations</w:t>
      </w:r>
      <w:r>
        <w:br/>
      </w:r>
      <w:r>
        <w:rPr>
          <w:bCs/>
          <w:b/>
        </w:rPr>
        <w:t xml:space="preserve">Confidentiality:</w:t>
      </w:r>
      <w:r>
        <w:t xml:space="preserve"> </w:t>
      </w:r>
      <w:r>
        <w:t xml:space="preserve">This Sales Report contains proprietary market analysis for United Kingdom healthcare stakeholders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Ophthalmology Sales Report | United Kingdom</dc:title>
  <dc:creator/>
  <dc:language>en</dc:language>
  <cp:keywords/>
  <dcterms:created xsi:type="dcterms:W3CDTF">2025-12-10T12:13:00Z</dcterms:created>
  <dcterms:modified xsi:type="dcterms:W3CDTF">2025-12-10T12:13:00Z</dcterms:modified>
</cp:coreProperties>
</file>

<file path=docProps/custom.xml><?xml version="1.0" encoding="utf-8"?>
<Properties xmlns="http://schemas.openxmlformats.org/officeDocument/2006/custom-properties" xmlns:vt="http://schemas.openxmlformats.org/officeDocument/2006/docPropsVTypes"/>
</file>