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Ophthalmologist</w:t>
      </w:r>
      <w:r>
        <w:t xml:space="preserve"> </w:t>
      </w:r>
      <w:r>
        <w:t xml:space="preserve">Practice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dfed39ff3839b72b23b0fff60421a9df24cb53a"/>
    <w:p>
      <w:pPr>
        <w:pStyle w:val="Heading1"/>
      </w:pPr>
      <w:r>
        <w:t xml:space="preserve">Quarterly Sales Performance Report for Ophthalmologist Practice</w:t>
      </w:r>
    </w:p>
    <w:bookmarkStart w:id="27" w:name="united-states-houston-market-analysis"/>
    <w:p>
      <w:pPr>
        <w:pStyle w:val="Heading2"/>
      </w:pPr>
      <w:r>
        <w:t xml:space="preserve">United States Houston Market Analysis</w:t>
      </w:r>
    </w:p>
    <w:p>
      <w:pPr>
        <w:pStyle w:val="FirstParagraph"/>
      </w:pPr>
      <w:r>
        <w:t xml:space="preserve">Prepared for Houston Healthcare Leadership Team</w:t>
      </w:r>
      <w:r>
        <w:br/>
      </w:r>
      <w:r>
        <w:t xml:space="preserve">Report Period: Q1-Q3 2023</w:t>
      </w:r>
      <w:r>
        <w:br/>
      </w: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performance metrics and market positioning of our ophthalmology practice within United States Houston. As a premier provider of eye care services in the nation's fourth-largest city, we've achieved significant growth in patient volume and revenue streams. The Houston market remains highly competitive yet ripe for expansion, particularly in advanced surgical procedures and telemedicine integration. This document serves as the definitive Sales Report for our Ophthalmologist practice operations across United States Houston.</w:t>
      </w:r>
    </w:p>
    <w:bookmarkEnd w:id="20"/>
    <w:bookmarkStart w:id="21" w:name="X545fa85cd76469af1b2e403a26296f82ae5c1c7"/>
    <w:p>
      <w:pPr>
        <w:pStyle w:val="Heading3"/>
      </w:pPr>
      <w:r>
        <w:t xml:space="preserve">Market Context: Ophthalmology in United States Houston</w:t>
      </w:r>
    </w:p>
    <w:p>
      <w:pPr>
        <w:pStyle w:val="FirstParagraph"/>
      </w:pPr>
      <w:r>
        <w:t xml:space="preserve">United States Houston represents one of the most dynamic healthcare markets in America, with over 7.5 million residents and a rapidly aging population. The demand for ophthalmic services has surged by 18% year-over-year, driven by diabetes prevalence (21% higher than national average), increased screen time exposure, and an aging demographic where cataract surgery rates exceed national benchmarks. This growth trajectory directly impacts our Sales Report metrics as we serve a patient base that requires increasingly specialized care.</w:t>
      </w:r>
    </w:p>
    <w:p>
      <w:pPr>
        <w:pStyle w:val="BodyText"/>
      </w:pPr>
      <w:r>
        <w:t xml:space="preserve">Our Houston practice operates within a competitive landscape featuring 42 active ophthalmology groups, yet we maintain leadership in high-margin services like refractive surgery (LASIK/PRK) and retinal therapies. The unique cultural diversity of United States Houston—spanning Hispanic, Asian, African American, and European communities—requires culturally competent care delivery that our Sales Report highlights as a key differentiator.</w:t>
      </w:r>
    </w:p>
    <w:bookmarkEnd w:id="21"/>
    <w:bookmarkStart w:id="22" w:name="sales-performance-analysis-q1-q3-2023"/>
    <w:p>
      <w:pPr>
        <w:pStyle w:val="Heading3"/>
      </w:pPr>
      <w:r>
        <w:t xml:space="preserve">Sales Performance Analysis (Q1-Q3 2023)</w:t>
      </w:r>
    </w:p>
    <w:p>
      <w:pPr>
        <w:pStyle w:val="FirstParagraph"/>
      </w:pPr>
      <w:r>
        <w:t xml:space="preserve">Service Category</w:t>
      </w:r>
    </w:p>
    <w:p>
      <w:pPr>
        <w:pStyle w:val="BodyText"/>
      </w:pPr>
      <w:r>
        <w:t xml:space="preserve">Q1 Revenue ($)</w:t>
      </w:r>
    </w:p>
    <w:p>
      <w:pPr>
        <w:pStyle w:val="BodyText"/>
      </w:pPr>
      <w:r>
        <w:t xml:space="preserve">Q3 Revenue ($)</w:t>
      </w:r>
    </w:p>
    <w:p>
      <w:pPr>
        <w:pStyle w:val="BodyText"/>
      </w:pPr>
      <w:r>
        <w:t xml:space="preserve">% Change</w:t>
      </w:r>
    </w:p>
    <w:p>
      <w:pPr>
        <w:pStyle w:val="BodyText"/>
      </w:pPr>
      <w:r>
        <w:t xml:space="preserve">Market Share (Houston)</w:t>
      </w:r>
    </w:p>
    <w:p>
      <w:pPr>
        <w:pStyle w:val="BodyText"/>
      </w:pPr>
      <w:r>
        <w:t xml:space="preserve">Diagnostic Services</w:t>
      </w:r>
    </w:p>
    <w:p>
      <w:pPr>
        <w:pStyle w:val="BodyText"/>
      </w:pPr>
      <w:r>
        <w:t xml:space="preserve">$218,500</w:t>
      </w:r>
    </w:p>
    <w:p>
      <w:pPr>
        <w:pStyle w:val="BodyText"/>
      </w:pPr>
      <w:r>
        <w:t xml:space="preserve">$247,300</w:t>
      </w:r>
    </w:p>
    <w:p>
      <w:pPr>
        <w:pStyle w:val="BodyText"/>
      </w:pPr>
      <w:r>
        <w:t xml:space="preserve">+13.2%</w:t>
      </w:r>
    </w:p>
    <w:p>
      <w:pPr>
        <w:pStyle w:val="BodyText"/>
      </w:pPr>
      <w:r>
        <w:t xml:space="preserve">24.7%</w:t>
      </w:r>
    </w:p>
    <w:p>
      <w:pPr>
        <w:pStyle w:val="BodyText"/>
      </w:pPr>
      <w:r>
        <w:t xml:space="preserve">Refractive Surgery</w:t>
      </w:r>
    </w:p>
    <w:p>
      <w:pPr>
        <w:pStyle w:val="BodyText"/>
      </w:pPr>
      <w:r>
        <w:t xml:space="preserve">$456,800</w:t>
      </w:r>
    </w:p>
    <w:p>
      <w:pPr>
        <w:pStyle w:val="BodyText"/>
      </w:pPr>
      <w:r>
        <w:t xml:space="preserve">$591,200</w:t>
      </w:r>
    </w:p>
    <w:p>
      <w:pPr>
        <w:pStyle w:val="BodyText"/>
      </w:pPr>
      <w:r>
        <w:t xml:space="preserve">+30.9%</w:t>
      </w:r>
    </w:p>
    <w:p>
      <w:pPr>
        <w:pStyle w:val="BodyText"/>
      </w:pPr>
      <w:r>
        <w:t xml:space="preserve">37.1%</w:t>
      </w:r>
    </w:p>
    <w:p>
      <w:pPr>
        <w:pStyle w:val="BodyText"/>
      </w:pPr>
      <w:r>
        <w:t xml:space="preserve">Cataract Surgery</w:t>
      </w:r>
    </w:p>
    <w:p>
      <w:pPr>
        <w:pStyle w:val="BodyText"/>
      </w:pPr>
      <w:r>
        <w:t xml:space="preserve">$684,200</w:t>
      </w:r>
    </w:p>
    <w:p>
      <w:pPr>
        <w:pStyle w:val="BodyText"/>
      </w:pPr>
      <w:r>
        <w:t xml:space="preserve">$753,900</w:t>
      </w:r>
    </w:p>
    <w:p>
      <w:pPr>
        <w:pStyle w:val="BodyText"/>
      </w:pPr>
      <w:r>
        <w:t xml:space="preserve">+10.2%</w:t>
      </w:r>
    </w:p>
    <w:p>
      <w:pPr>
        <w:pStyle w:val="BodyText"/>
      </w:pPr>
      <w:r>
        <w:t xml:space="preserve">31.5%</w:t>
      </w:r>
    </w:p>
    <w:p>
      <w:pPr>
        <w:pStyle w:val="BodyText"/>
      </w:pPr>
      <w:r>
        <w:t xml:space="preserve">Retail Eyewear</w:t>
      </w:r>
    </w:p>
    <w:p>
      <w:pPr>
        <w:pStyle w:val="BodyText"/>
      </w:pPr>
      <w:r>
        <w:t xml:space="preserve">$89,400</w:t>
      </w:r>
    </w:p>
    <w:p>
      <w:pPr>
        <w:pStyle w:val="BodyText"/>
      </w:pPr>
      <w:r>
        <w:t xml:space="preserve">The sales growth in refractive surgery (+30.9%) significantly outpaces the Houston market average (18%), confirming our Ophthalmologist practice's strategic positioning. This success is attributed to our specialized laser technology and targeted marketing within United States Houston's affluent communities near Memorial City and Uptown. Our diagnostic services growth reflects increased patient retention through comprehensive eye health monitoring—a critical factor for any modern Ophthalmologist in this market.</w:t>
      </w:r>
    </w:p>
    <w:bookmarkEnd w:id="22"/>
    <w:bookmarkStart w:id="23" w:name="key-performance-indicators"/>
    <w:p>
      <w:pPr>
        <w:pStyle w:val="Heading3"/>
      </w:pPr>
      <w:r>
        <w:t xml:space="preserve">Key Performance Indicators</w:t>
      </w:r>
    </w:p>
    <w:p>
      <w:pPr>
        <w:pStyle w:val="FirstParagraph"/>
      </w:pPr>
      <w:r>
        <w:t xml:space="preserve">Our Sales Report identifies three pivotal metrics driving Houston practice performance:</w:t>
      </w:r>
    </w:p>
    <w:p>
      <w:pPr>
        <w:numPr>
          <w:ilvl w:val="0"/>
          <w:numId w:val="1001"/>
        </w:numPr>
        <w:pStyle w:val="Compact"/>
      </w:pPr>
      <w:r>
        <w:rPr>
          <w:bCs/>
          <w:b/>
        </w:rPr>
        <w:t xml:space="preserve">Patient Acquisition Cost (PAC):</w:t>
      </w:r>
      <w:r>
        <w:t xml:space="preserve"> </w:t>
      </w:r>
      <w:r>
        <w:t xml:space="preserve">Reduced by 19% through hyper-localized digital marketing campaigns targeting United States Houston neighborhoods with high diabetic populations</w:t>
      </w:r>
    </w:p>
    <w:p>
      <w:pPr>
        <w:numPr>
          <w:ilvl w:val="0"/>
          <w:numId w:val="1001"/>
        </w:numPr>
        <w:pStyle w:val="Compact"/>
      </w:pPr>
      <w:r>
        <w:rPr>
          <w:bCs/>
          <w:b/>
        </w:rPr>
        <w:t xml:space="preserve">Procedure Conversion Rate:</w:t>
      </w:r>
      <w:r>
        <w:t xml:space="preserve"> </w:t>
      </w:r>
      <w:r>
        <w:t xml:space="preserve">Achieved 82% from initial consultations—surpassing the Houston benchmark of 68%</w:t>
      </w:r>
    </w:p>
    <w:p>
      <w:pPr>
        <w:numPr>
          <w:ilvl w:val="0"/>
          <w:numId w:val="1001"/>
        </w:numPr>
        <w:pStyle w:val="Compact"/>
      </w:pPr>
      <w:r>
        <w:rPr>
          <w:bCs/>
          <w:b/>
        </w:rPr>
        <w:t xml:space="preserve">Patient Satisfaction Score (NPS):</w:t>
      </w:r>
      <w:r>
        <w:t xml:space="preserve"> </w:t>
      </w:r>
      <w:r>
        <w:t xml:space="preserve">79/100 (vs. Houston average: 65), directly linked to our Ophthalmologist's personalized care model</w:t>
      </w:r>
    </w:p>
    <w:p>
      <w:pPr>
        <w:pStyle w:val="FirstParagraph"/>
      </w:pPr>
      <w:r>
        <w:t xml:space="preserve">Notably, our telemedicine services have grown by 240% since Q1, becoming a critical revenue stream for follow-up care in United States Houston's sprawling metropolitan area. This innovation addresses geographic barriers faced by patients in neighborhoods like West Houston and The Heights.</w:t>
      </w:r>
    </w:p>
    <w:bookmarkEnd w:id="23"/>
    <w:bookmarkStart w:id="24" w:name="X4e43d45ec2c9e4125832059add5b830bafd5cdd"/>
    <w:p>
      <w:pPr>
        <w:pStyle w:val="Heading3"/>
      </w:pPr>
      <w:r>
        <w:t xml:space="preserve">Houston-Specific Challenges &amp; Opportunities</w:t>
      </w:r>
    </w:p>
    <w:p>
      <w:pPr>
        <w:pStyle w:val="FirstParagraph"/>
      </w:pPr>
      <w:r>
        <w:t xml:space="preserve">Operating as an Ophthalmologist practice in United States Houston presents unique challenges. Insurance reimbursement fluctuations for Medicare patients (accounting for 42% of our patient base) require constant adaptation. Additionally, the high cost of maintaining cutting-edge equipment—such as OCT scanners and femtosecond lasers—demands strategic investment planning reflected in this Sales Report.</w:t>
      </w:r>
    </w:p>
    <w:p>
      <w:pPr>
        <w:pStyle w:val="BodyText"/>
      </w:pPr>
      <w:r>
        <w:t xml:space="preserve">However, Houston's market offers unprecedented opportunities. The recent opening of the Texas Medical Center's new ophthalmology wing has created referral partnerships with 15 major hospitals. Our Ophthalmologist team leveraged this to increase surgical volume by 27% through integrated care pathways—a strategic move documented in our Sales Report.</w:t>
      </w:r>
    </w:p>
    <w:bookmarkEnd w:id="24"/>
    <w:bookmarkStart w:id="25" w:name="Xb16d77297572256b81fe68719d86614a2d8c3da"/>
    <w:p>
      <w:pPr>
        <w:pStyle w:val="Heading3"/>
      </w:pPr>
      <w:r>
        <w:t xml:space="preserve">Strategic Recommendations for United States Houston Expansion</w:t>
      </w:r>
    </w:p>
    <w:p>
      <w:pPr>
        <w:pStyle w:val="FirstParagraph"/>
      </w:pPr>
      <w:r>
        <w:t xml:space="preserve">Based on the insights from this Sales Report, we propose three market-specific initiatives:</w:t>
      </w:r>
    </w:p>
    <w:p>
      <w:pPr>
        <w:numPr>
          <w:ilvl w:val="0"/>
          <w:numId w:val="1002"/>
        </w:numPr>
        <w:pStyle w:val="Compact"/>
      </w:pPr>
      <w:r>
        <w:rPr>
          <w:bCs/>
          <w:b/>
        </w:rPr>
        <w:t xml:space="preserve">Targeted Community Health Screenings:</w:t>
      </w:r>
      <w:r>
        <w:t xml:space="preserve"> </w:t>
      </w:r>
      <w:r>
        <w:t xml:space="preserve">Partner with Houston ISD and local churches to conduct diabetic retinopathy screenings in underserved East Houston neighborhoods, converting screenings into new patient acquisition (projected +15% annual revenue)</w:t>
      </w:r>
    </w:p>
    <w:p>
      <w:pPr>
        <w:numPr>
          <w:ilvl w:val="0"/>
          <w:numId w:val="1002"/>
        </w:numPr>
        <w:pStyle w:val="Compact"/>
      </w:pPr>
      <w:r>
        <w:rPr>
          <w:bCs/>
          <w:b/>
        </w:rPr>
        <w:t xml:space="preserve">Laser Technology Expansion:</w:t>
      </w:r>
      <w:r>
        <w:t xml:space="preserve"> </w:t>
      </w:r>
      <w:r>
        <w:t xml:space="preserve">Invest in a second femtosecond laser system to handle increasing demand for premium cataract procedures, which generate 3× higher margins than standard surgery</w:t>
      </w:r>
    </w:p>
    <w:p>
      <w:pPr>
        <w:numPr>
          <w:ilvl w:val="0"/>
          <w:numId w:val="1002"/>
        </w:numPr>
        <w:pStyle w:val="Compact"/>
      </w:pPr>
      <w:r>
        <w:rPr>
          <w:bCs/>
          <w:b/>
        </w:rPr>
        <w:t xml:space="preserve">Telehealth Optimization:</w:t>
      </w:r>
      <w:r>
        <w:t xml:space="preserve"> </w:t>
      </w:r>
      <w:r>
        <w:t xml:space="preserve">Develop Houston-specific mobile app features allowing patients from Pearland to Clear Lake to schedule virtual consultations during commute times</w:t>
      </w:r>
    </w:p>
    <w:p>
      <w:pPr>
        <w:pStyle w:val="FirstParagraph"/>
      </w:pPr>
      <w:r>
        <w:t xml:space="preserve">These initiatives directly address United States Houston's unique demographic and geographic challenges while capitalizing on our Ophthalmologist practice's clinical strengths.</w:t>
      </w:r>
    </w:p>
    <w:bookmarkEnd w:id="25"/>
    <w:bookmarkStart w:id="26" w:name="X140c779d0b968906e996c6c4c7a4223fec604ad"/>
    <w:p>
      <w:pPr>
        <w:pStyle w:val="Heading3"/>
      </w:pPr>
      <w:r>
        <w:t xml:space="preserve">Conclusion: The Future of Ophthalmology Sales in Houston</w:t>
      </w:r>
    </w:p>
    <w:p>
      <w:pPr>
        <w:pStyle w:val="FirstParagraph"/>
      </w:pPr>
      <w:r>
        <w:t xml:space="preserve">This Sales Report confirms that our ophthalmology practice remains a high-performing entity within United States Houston's competitive healthcare ecosystem. By focusing on advanced procedures, community engagement, and technology adoption, we've outpaced market growth while maintaining exceptional patient satisfaction. The data clearly demonstrates that strategic specialization—particularly in refractive surgery and diabetic eye care—delivers superior financial results for any Ophthalmologist operating in Houston.</w:t>
      </w:r>
    </w:p>
    <w:p>
      <w:pPr>
        <w:pStyle w:val="BodyText"/>
      </w:pPr>
      <w:r>
        <w:t xml:space="preserve">Looking ahead to 2024, our primary focus will be scaling the telemedicine platform across United States Houston's vast geography while maintaining the personalized care that defines our Ophthalmologist brand. This Sales Report serves as both a performance dashboard and strategic roadmap for continued leadership in Texas' most dynamic eye care market.</w:t>
      </w:r>
    </w:p>
    <w:p>
      <w:pPr>
        <w:pStyle w:val="BodyText"/>
      </w:pPr>
      <w:r>
        <w:t xml:space="preserve">"Houston's growth demands innovation in eye care—our Sales Report proves we're leading the transformation." - Dr. Elena Rodriguez, Chief Ophthalmologist</w:t>
      </w:r>
    </w:p>
    <w:p>
      <w:pPr>
        <w:pStyle w:val="BodyText"/>
      </w:pPr>
      <w:r>
        <w:rPr>
          <w:bCs/>
          <w:b/>
        </w:rPr>
        <w:t xml:space="preserve">Report Prepared For:</w:t>
      </w:r>
      <w:r>
        <w:t xml:space="preserve"> </w:t>
      </w:r>
      <w:r>
        <w:t xml:space="preserve">Houston Ophthalmology Group Leadership</w:t>
      </w:r>
      <w:r>
        <w:br/>
      </w:r>
      <w:r>
        <w:rPr>
          <w:bCs/>
          <w:b/>
        </w:rPr>
        <w:t xml:space="preserve">Prepared By:</w:t>
      </w:r>
      <w:r>
        <w:t xml:space="preserve"> </w:t>
      </w:r>
      <w:r>
        <w:t xml:space="preserve">Healthcare Analytics Department, United States Houston</w:t>
      </w:r>
      <w:r>
        <w:br/>
      </w:r>
      <w:r>
        <w:rPr>
          <w:bCs/>
          <w:b/>
        </w:rPr>
        <w:t xml:space="preserve">This Sales Report is Confidential and Proprietary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Ophthalmologist Practice Performance in United States Houston</dc:title>
  <dc:creator/>
  <cp:keywords/>
  <dcterms:created xsi:type="dcterms:W3CDTF">2026-07-24T03:58:41Z</dcterms:created>
  <dcterms:modified xsi:type="dcterms:W3CDTF">2026-07-24T03:58:41Z</dcterms:modified>
</cp:coreProperties>
</file>

<file path=docProps/custom.xml><?xml version="1.0" encoding="utf-8"?>
<Properties xmlns="http://schemas.openxmlformats.org/officeDocument/2006/custom-properties" xmlns:vt="http://schemas.openxmlformats.org/officeDocument/2006/docPropsVTypes"/>
</file>