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441d0d53c43ad81d0c3a830ad94913fb31b093b"/>
    <w:p>
      <w:pPr>
        <w:pStyle w:val="Heading1"/>
      </w:pPr>
      <w:r>
        <w:t xml:space="preserve">ANNUAL SALES REPORT: OPHTHALMOLOGY SERVICES MARKET ANALYSIS</w:t>
      </w:r>
      <w:r>
        <w:br/>
      </w:r>
      <w:r>
        <w:t xml:space="preserve">UNITED STATES LOS ANGELES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Medical Equipment &amp; Services Division</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comprehensive Sales Report analyzes the ophthalmology services market within United States Los Angeles, providing critical insights into sales performance, competitive dynamics, and growth opportunities for healthcare providers specializing in eye care. The report confirms that Los Angeles remains a high-potential market for ophthalmologist practices due to its rapidly aging population (19.8% over 65), significant Medicare coverage utilization (23% of all ophthalmology claims), and emerging demand for advanced surgical technologies. Total sales revenue from ophthalmology services in the Los Angeles metro area reached $1.84 billion during the reporting period, representing a 7.2% year-over-year increase despite macroeconomic pressures across the United States healthcare sector.</w:t>
      </w:r>
    </w:p>
    <w:bookmarkEnd w:id="20"/>
    <w:bookmarkStart w:id="21" w:name="X0590179a44f6f7c7591037b5f18c771f18a24c5"/>
    <w:p>
      <w:pPr>
        <w:pStyle w:val="Heading2"/>
      </w:pPr>
      <w:r>
        <w:t xml:space="preserve">II. Market Context: Ophthalmologist Services in United States Los Angeles</w:t>
      </w:r>
    </w:p>
    <w:p>
      <w:pPr>
        <w:pStyle w:val="FirstParagraph"/>
      </w:pPr>
      <w:r>
        <w:t xml:space="preserve">The Los Angeles market houses over 1,800 licensed ophthalmologists serving a population of 12.7 million residents, with the highest concentration in Westside (35%), Downtown (28%), and South LA (24%) corridors. This density positions United States Los Angeles as the nation's second-largest ophthalmology services hub after New York City. Critical market drivers include:</w:t>
      </w:r>
    </w:p>
    <w:p>
      <w:pPr>
        <w:numPr>
          <w:ilvl w:val="0"/>
          <w:numId w:val="1001"/>
        </w:numPr>
        <w:pStyle w:val="Compact"/>
      </w:pPr>
      <w:r>
        <w:rPr>
          <w:bCs/>
          <w:b/>
        </w:rPr>
        <w:t xml:space="preserve">Demographic Pressure:</w:t>
      </w:r>
      <w:r>
        <w:t xml:space="preserve"> </w:t>
      </w:r>
      <w:r>
        <w:t xml:space="preserve">1 in 5 Angelenos aged 65+ requires annual ophthalmologist visits, driving demand for cataract surgery (42% of all procedures) and diabetic retinopathy screenings.</w:t>
      </w:r>
    </w:p>
    <w:p>
      <w:pPr>
        <w:numPr>
          <w:ilvl w:val="0"/>
          <w:numId w:val="1001"/>
        </w:numPr>
        <w:pStyle w:val="Compact"/>
      </w:pPr>
      <w:r>
        <w:rPr>
          <w:bCs/>
          <w:b/>
        </w:rPr>
        <w:t xml:space="preserve">Insurance Coverage Shifts:</w:t>
      </w:r>
      <w:r>
        <w:t xml:space="preserve"> </w:t>
      </w:r>
      <w:r>
        <w:t xml:space="preserve">Medicare Advantage plans now cover 68% of ophthalmology services in Los Angeles, creating new revenue streams but necessitating complex billing adaptations.</w:t>
      </w:r>
    </w:p>
    <w:p>
      <w:pPr>
        <w:numPr>
          <w:ilvl w:val="0"/>
          <w:numId w:val="1001"/>
        </w:numPr>
        <w:pStyle w:val="Compact"/>
      </w:pPr>
      <w:r>
        <w:rPr>
          <w:bCs/>
          <w:b/>
        </w:rPr>
        <w:t xml:space="preserve">Technology Adoption Rate:</w:t>
      </w:r>
      <w:r>
        <w:t xml:space="preserve"> </w:t>
      </w:r>
      <w:r>
        <w:t xml:space="preserve">89% of LA-based ophthalmologists utilize OCT (Optical Coherence Tomography) systems compared to 74% nationally, reflecting the region's early adoption culture.</w:t>
      </w:r>
    </w:p>
    <w:bookmarkEnd w:id="21"/>
    <w:bookmarkStart w:id="22" w:name="iii.-sales-performance-breakdown"/>
    <w:p>
      <w:pPr>
        <w:pStyle w:val="Heading2"/>
      </w:pPr>
      <w:r>
        <w:t xml:space="preserve">III. Sales Performance Breakdown</w:t>
      </w:r>
    </w:p>
    <w:p>
      <w:pPr>
        <w:pStyle w:val="FirstParagraph"/>
      </w:pPr>
      <w:r>
        <w:rPr>
          <w:iCs/>
          <w:i/>
        </w:rPr>
        <w:t xml:space="preserve">Revenue by Service Category (Los Angeles Metro - Q3 2023)</w:t>
      </w:r>
    </w:p>
    <w:p>
      <w:pPr>
        <w:pStyle w:val="BodyText"/>
      </w:pPr>
      <w:r>
        <w:t xml:space="preserve">Service Category</w:t>
      </w:r>
    </w:p>
    <w:p>
      <w:pPr>
        <w:pStyle w:val="BodyText"/>
      </w:pPr>
      <w:r>
        <w:t xml:space="preserve">Revenue ($M)</w:t>
      </w:r>
    </w:p>
    <w:p>
      <w:pPr>
        <w:pStyle w:val="BodyText"/>
      </w:pPr>
      <w:r>
        <w:t xml:space="preserve">YoY Growth</w:t>
      </w:r>
    </w:p>
    <w:p>
      <w:pPr>
        <w:pStyle w:val="BodyText"/>
      </w:pPr>
      <w:r>
        <w:t xml:space="preserve">Market Share</w:t>
      </w:r>
    </w:p>
    <w:p>
      <w:pPr>
        <w:pStyle w:val="BodyText"/>
      </w:pPr>
      <w:r>
        <w:t xml:space="preserve">Cataract Surgery</w:t>
      </w:r>
    </w:p>
    <w:p>
      <w:pPr>
        <w:pStyle w:val="BodyText"/>
      </w:pPr>
      <w:r>
        <w:t xml:space="preserve">$582.3</w:t>
      </w:r>
    </w:p>
    <w:p>
      <w:pPr>
        <w:pStyle w:val="BodyText"/>
      </w:pPr>
      <w:r>
        <w:t xml:space="preserve">+8.7%</w:t>
      </w:r>
    </w:p>
    <w:p>
      <w:pPr>
        <w:pStyle w:val="BodyText"/>
      </w:pPr>
      <w:r>
        <w:t xml:space="preserve">31.6%</w:t>
      </w:r>
    </w:p>
    <w:p>
      <w:pPr>
        <w:pStyle w:val="BodyText"/>
      </w:pPr>
      <w:r>
        <w:t xml:space="preserve">Dry Eye Therapy</w:t>
      </w:r>
    </w:p>
    <w:p>
      <w:pPr>
        <w:pStyle w:val="BodyText"/>
      </w:pPr>
      <w:r>
        <w:rPr>
          <w:bCs/>
          <w:b/>
        </w:rPr>
        <w:t xml:space="preserve">$204.1</w:t>
      </w:r>
    </w:p>
    <w:p>
      <w:pPr>
        <w:pStyle w:val="BodyText"/>
      </w:pPr>
      <w:r>
        <w:t xml:space="preserve">+22.4%</w:t>
      </w:r>
    </w:p>
    <w:p>
      <w:pPr>
        <w:pStyle w:val="BodyText"/>
      </w:pPr>
      <w:r>
        <w:t xml:space="preserve">11.1%</w:t>
      </w:r>
    </w:p>
    <w:p>
      <w:pPr>
        <w:pStyle w:val="BodyText"/>
      </w:pPr>
      <w:r>
        <w:t xml:space="preserve">Retinal Care</w:t>
      </w:r>
    </w:p>
    <w:p>
      <w:pPr>
        <w:pStyle w:val="BodyText"/>
      </w:pPr>
      <w:r>
        <w:t xml:space="preserve">$398.7</w:t>
      </w:r>
    </w:p>
    <w:p>
      <w:pPr>
        <w:pStyle w:val="BodyText"/>
      </w:pPr>
      <w:r>
        <w:t xml:space="preserve">+6.3%</w:t>
      </w:r>
    </w:p>
    <w:p>
      <w:pPr>
        <w:pStyle w:val="BodyText"/>
      </w:pPr>
      <w:r>
        <w:t xml:space="preserve">21.7%</w:t>
      </w:r>
    </w:p>
    <w:p>
      <w:pPr>
        <w:pStyle w:val="BodyText"/>
      </w:pPr>
      <w:r>
        <w:t xml:space="preserve">Laser Vision Correction</w:t>
      </w:r>
    </w:p>
    <w:p>
      <w:pPr>
        <w:pStyle w:val="BodyText"/>
      </w:pPr>
      <w:r>
        <w:t xml:space="preserve">$145.9</w:t>
      </w:r>
    </w:p>
    <w:p>
      <w:pPr>
        <w:pStyle w:val="BodyText"/>
      </w:pPr>
      <w:r>
        <w:t xml:space="preserve">+4.1%</w:t>
      </w:r>
    </w:p>
    <w:p>
      <w:pPr>
        <w:pStyle w:val="BodyText"/>
      </w:pPr>
      <w:r>
        <w:t xml:space="preserve">7.9%</w:t>
      </w:r>
    </w:p>
    <w:p>
      <w:pPr>
        <w:pStyle w:val="BodyText"/>
      </w:pPr>
      <w:r>
        <w:t xml:space="preserve">Glaucoma Management</w:t>
      </w:r>
    </w:p>
    <w:p>
      <w:pPr>
        <w:pStyle w:val="BodyText"/>
      </w:pPr>
      <w:r>
        <w:t xml:space="preserve">$262.5</w:t>
      </w:r>
    </w:p>
    <w:p>
      <w:pPr>
        <w:pStyle w:val="BodyText"/>
      </w:pPr>
      <w:r>
        <w:t xml:space="preserve">+5.8%</w:t>
      </w:r>
    </w:p>
    <w:p>
      <w:pPr>
        <w:pStyle w:val="BodyText"/>
      </w:pPr>
      <w:r>
        <w:t xml:space="preserve">14.3%</w:t>
      </w:r>
    </w:p>
    <w:p>
      <w:pPr>
        <w:pStyle w:val="BodyText"/>
      </w:pPr>
      <w:r>
        <w:t xml:space="preserve">TOTAL</w:t>
      </w:r>
    </w:p>
    <w:p>
      <w:pPr>
        <w:pStyle w:val="BodyText"/>
      </w:pPr>
      <w:r>
        <w:t xml:space="preserve">$1,843.5</w:t>
      </w:r>
    </w:p>
    <w:p>
      <w:pPr>
        <w:pStyle w:val="BodyText"/>
      </w:pPr>
      <w:r>
        <w:t xml:space="preserve">+</w:t>
      </w:r>
    </w:p>
    <w:p>
      <w:pPr>
        <w:pStyle w:val="BodyText"/>
      </w:pPr>
      <w:r>
        <w:t xml:space="preserve">100%</w:t>
      </w:r>
    </w:p>
    <w:p>
      <w:pPr>
        <w:pStyle w:val="BodyText"/>
      </w:pPr>
      <w:r>
        <w:t xml:space="preserve">Notable trends include the 22.4% surge in dry eye therapy revenue driven by increased patient awareness and employer-sponsored vision plans. The laser vision correction segment, while growing steadily, faces margin compression due to competitive pricing among specialty centers in United States Los Angeles.</w:t>
      </w:r>
    </w:p>
    <w:bookmarkEnd w:id="22"/>
    <w:bookmarkStart w:id="23" w:name="iv.-competitive-landscape-analysis"/>
    <w:p>
      <w:pPr>
        <w:pStyle w:val="Heading2"/>
      </w:pPr>
      <w:r>
        <w:t xml:space="preserve">IV. Competitive Landscape Analysis</w:t>
      </w:r>
    </w:p>
    <w:p>
      <w:pPr>
        <w:pStyle w:val="FirstParagraph"/>
      </w:pPr>
      <w:r>
        <w:t xml:space="preserve">Key competitors operating within the United States Los Angeles ophthalmology market include:</w:t>
      </w:r>
    </w:p>
    <w:p>
      <w:pPr>
        <w:numPr>
          <w:ilvl w:val="0"/>
          <w:numId w:val="1002"/>
        </w:numPr>
        <w:pStyle w:val="Compact"/>
      </w:pPr>
      <w:r>
        <w:rPr>
          <w:bCs/>
          <w:b/>
        </w:rPr>
        <w:t xml:space="preserve">National Chains (e.g., EyeCare America):</w:t>
      </w:r>
      <w:r>
        <w:t xml:space="preserve"> </w:t>
      </w:r>
      <w:r>
        <w:t xml:space="preserve">Capture 38% market share through standardized billing and telehealth integration, but face patient satisfaction challenges in personalized care.</w:t>
      </w:r>
    </w:p>
    <w:p>
      <w:pPr>
        <w:numPr>
          <w:ilvl w:val="0"/>
          <w:numId w:val="1002"/>
        </w:numPr>
        <w:pStyle w:val="Compact"/>
      </w:pPr>
      <w:r>
        <w:rPr>
          <w:bCs/>
          <w:b/>
        </w:rPr>
        <w:t xml:space="preserve">Independent Ophthalmologist Practices:</w:t>
      </w:r>
      <w:r>
        <w:t xml:space="preserve"> </w:t>
      </w:r>
      <w:r>
        <w:t xml:space="preserve">Hold 52% of the market with superior patient retention (76% vs. chain average of 64%) due to community trust and customized treatment plans.</w:t>
      </w:r>
    </w:p>
    <w:p>
      <w:pPr>
        <w:numPr>
          <w:ilvl w:val="0"/>
          <w:numId w:val="1002"/>
        </w:numPr>
        <w:pStyle w:val="Compact"/>
      </w:pPr>
      <w:r>
        <w:rPr>
          <w:bCs/>
          <w:b/>
        </w:rPr>
        <w:t xml:space="preserve">Hospital-Based Programs (e.g., UCLA Health, Keck Medicine):</w:t>
      </w:r>
      <w:r>
        <w:t xml:space="preserve"> </w:t>
      </w:r>
      <w:r>
        <w:t xml:space="preserve">Command premium pricing for complex cases but struggle with surgical scheduling delays affecting revenue cycles.</w:t>
      </w:r>
    </w:p>
    <w:p>
      <w:pPr>
        <w:pStyle w:val="FirstParagraph"/>
      </w:pPr>
      <w:r>
        <w:t xml:space="preserve">Our sales data indicates that ophthalmologists in Los Angeles prioritize vendors offering:</w:t>
      </w:r>
    </w:p>
    <w:p>
      <w:pPr>
        <w:numPr>
          <w:ilvl w:val="0"/>
          <w:numId w:val="1003"/>
        </w:numPr>
        <w:pStyle w:val="Compact"/>
      </w:pPr>
      <w:r>
        <w:t xml:space="preserve">Real-time EHR integration (78% of respondents)</w:t>
      </w:r>
    </w:p>
    <w:p>
      <w:pPr>
        <w:numPr>
          <w:ilvl w:val="0"/>
          <w:numId w:val="1003"/>
        </w:numPr>
        <w:pStyle w:val="Compact"/>
      </w:pPr>
      <w:r>
        <w:t xml:space="preserve">On-site technician support (63%)</w:t>
      </w:r>
    </w:p>
    <w:bookmarkEnd w:id="23"/>
    <w:bookmarkStart w:id="24" w:name="X0129acb7cd771ffd86de7af647febc2f9133ccc"/>
    <w:p>
      <w:pPr>
        <w:pStyle w:val="Heading2"/>
      </w:pPr>
      <w:r>
        <w:t xml:space="preserve">V. Critical Challenges in United States Los Angeles Market</w:t>
      </w:r>
    </w:p>
    <w:p>
      <w:pPr>
        <w:pStyle w:val="FirstParagraph"/>
      </w:pPr>
      <w:r>
        <w:t xml:space="preserve">Despite strong growth, three challenges significantly impact ophthalmologist sales performance:</w:t>
      </w:r>
    </w:p>
    <w:p>
      <w:pPr>
        <w:numPr>
          <w:ilvl w:val="0"/>
          <w:numId w:val="1004"/>
        </w:numPr>
        <w:pStyle w:val="Compact"/>
      </w:pPr>
      <w:r>
        <w:rPr>
          <w:bCs/>
          <w:b/>
        </w:rPr>
        <w:t xml:space="preserve">Reimbursement Pressures:</w:t>
      </w:r>
      <w:r>
        <w:t xml:space="preserve"> </w:t>
      </w:r>
      <w:r>
        <w:t xml:space="preserve">Medicare reimbursement rates for cataract surgery decreased by 1.8% in 2023, directly reducing practice revenue margins despite volume increases.</w:t>
      </w:r>
    </w:p>
    <w:p>
      <w:pPr>
        <w:numPr>
          <w:ilvl w:val="0"/>
          <w:numId w:val="1004"/>
        </w:numPr>
        <w:pStyle w:val="Compact"/>
      </w:pPr>
      <w:r>
        <w:rPr>
          <w:bCs/>
          <w:b/>
        </w:rPr>
        <w:t xml:space="preserve">Talent Retention Crisis:</w:t>
      </w:r>
      <w:r>
        <w:t xml:space="preserve"> </w:t>
      </w:r>
      <w:r>
        <w:t xml:space="preserve">Los Angeles ophthalmologist practices experience 18% annual staff turnover (vs. national average of 12%), increasing training costs and service inconsistencies.</w:t>
      </w:r>
    </w:p>
    <w:p>
      <w:pPr>
        <w:numPr>
          <w:ilvl w:val="0"/>
          <w:numId w:val="1004"/>
        </w:numPr>
        <w:pStyle w:val="Compact"/>
      </w:pPr>
      <w:r>
        <w:rPr>
          <w:bCs/>
          <w:b/>
        </w:rPr>
        <w:t xml:space="preserve">Telehealth Integration Hurdles:</w:t>
      </w:r>
      <w:r>
        <w:t xml:space="preserve"> </w:t>
      </w:r>
      <w:r>
        <w:t xml:space="preserve">Only 37% of LA-based ophthalmologists effectively utilize telemedicine for post-op follow-ups, creating missed revenue opportunities in a market where remote care is increasingly expected.</w:t>
      </w:r>
    </w:p>
    <w:bookmarkEnd w:id="24"/>
    <w:bookmarkStart w:id="25" w:name="vi.-strategic-opportunities"/>
    <w:p>
      <w:pPr>
        <w:pStyle w:val="Heading2"/>
      </w:pPr>
      <w:r>
        <w:t xml:space="preserve">VI. Strategic Opportunities</w:t>
      </w:r>
    </w:p>
    <w:p>
      <w:pPr>
        <w:pStyle w:val="FirstParagraph"/>
      </w:pPr>
      <w:r>
        <w:t xml:space="preserve">This Sales Report identifies four high-potential growth vectors for vendors targeting United States Los Angeles ophthalmologists:</w:t>
      </w:r>
    </w:p>
    <w:p>
      <w:pPr>
        <w:numPr>
          <w:ilvl w:val="0"/>
          <w:numId w:val="1005"/>
        </w:numPr>
        <w:pStyle w:val="Compact"/>
      </w:pPr>
      <w:r>
        <w:rPr>
          <w:bCs/>
          <w:b/>
        </w:rPr>
        <w:t xml:space="preserve">Value-Based Care Bundles:</w:t>
      </w:r>
      <w:r>
        <w:t xml:space="preserve"> </w:t>
      </w:r>
      <w:r>
        <w:t xml:space="preserve">Develop comprehensive post-op care packages (including telehealth follow-ups and medication adherence programs) that reduce patient no-shows by 28% and increase repeat visits.</w:t>
      </w:r>
    </w:p>
    <w:p>
      <w:pPr>
        <w:numPr>
          <w:ilvl w:val="0"/>
          <w:numId w:val="1005"/>
        </w:numPr>
        <w:pStyle w:val="Compact"/>
      </w:pPr>
      <w:r>
        <w:rPr>
          <w:bCs/>
          <w:b/>
        </w:rPr>
        <w:t xml:space="preserve">Dry Eye Therapeutics Expansion:</w:t>
      </w:r>
      <w:r>
        <w:t xml:space="preserve"> </w:t>
      </w:r>
      <w:r>
        <w:t xml:space="preserve">Partner with LA-based ophthalmologists to launch in-office dry eye treatment centers, projected to generate $450K+ annual revenue per practice.</w:t>
      </w:r>
    </w:p>
    <w:p>
      <w:pPr>
        <w:numPr>
          <w:ilvl w:val="0"/>
          <w:numId w:val="1005"/>
        </w:numPr>
        <w:pStyle w:val="Compact"/>
      </w:pPr>
      <w:r>
        <w:rPr>
          <w:bCs/>
          <w:b/>
        </w:rPr>
        <w:t xml:space="preserve">AI-Powered Diagnostics:</w:t>
      </w:r>
      <w:r>
        <w:t xml:space="preserve"> </w:t>
      </w:r>
      <w:r>
        <w:t xml:space="preserve">Introduce AI tools for early diabetic retinopathy detection that reduce diagnostic time by 40%—a key selling point for high-volume LA practices.</w:t>
      </w:r>
    </w:p>
    <w:p>
      <w:pPr>
        <w:numPr>
          <w:ilvl w:val="0"/>
          <w:numId w:val="1005"/>
        </w:numPr>
        <w:pStyle w:val="Compact"/>
      </w:pPr>
      <w:r>
        <w:rPr>
          <w:bCs/>
          <w:b/>
        </w:rPr>
        <w:t xml:space="preserve">Cultural Competency Training:</w:t>
      </w:r>
      <w:r>
        <w:t xml:space="preserve"> </w:t>
      </w:r>
      <w:r>
        <w:t xml:space="preserve">Develop multilingual patient engagement programs tailored to Los Angeles' diverse population (38% Hispanic, 15% Asian), improving patient acquisition costs by 22%.</w:t>
      </w:r>
    </w:p>
    <w:bookmarkEnd w:id="25"/>
    <w:bookmarkStart w:id="26" w:name="X974e7579dce7ac2e059c47712b2a6aab2e08dff"/>
    <w:p>
      <w:pPr>
        <w:pStyle w:val="Heading2"/>
      </w:pPr>
      <w:r>
        <w:t xml:space="preserve">VII. Conclusion &amp; Strategic Recommendations</w:t>
      </w:r>
    </w:p>
    <w:p>
      <w:pPr>
        <w:pStyle w:val="FirstParagraph"/>
      </w:pPr>
      <w:r>
        <w:t xml:space="preserve">The United States Los Angeles market presents exceptional opportunities for sales growth in ophthalmology services, driven by demographic trends and technological adoption. Our Sales Report confirms that the top-performing ophthalmologist practices in Los Angeles differentiate through patient-centric technology integration and culturally responsive care models—practices that prioritize these factors achieved 12.7% higher revenue growth than industry averages.</w:t>
      </w:r>
    </w:p>
    <w:p>
      <w:pPr>
        <w:pStyle w:val="BodyText"/>
      </w:pPr>
      <w:r>
        <w:rPr>
          <w:bCs/>
          <w:b/>
        </w:rPr>
        <w:t xml:space="preserve">Recommendations for Immediate Action:</w:t>
      </w:r>
    </w:p>
    <w:p>
      <w:pPr>
        <w:numPr>
          <w:ilvl w:val="0"/>
          <w:numId w:val="1006"/>
        </w:numPr>
        <w:pStyle w:val="Compact"/>
      </w:pPr>
      <w:r>
        <w:t xml:space="preserve">Deploy targeted sales training for our field team focused on value-based care solutions, specifically designed for Los Angeles' Medicare Advantage market dynamics.</w:t>
      </w:r>
    </w:p>
    <w:p>
      <w:pPr>
        <w:numPr>
          <w:ilvl w:val="0"/>
          <w:numId w:val="1006"/>
        </w:numPr>
        <w:pStyle w:val="Compact"/>
      </w:pPr>
      <w:r>
        <w:t xml:space="preserve">Launch a pilot program with 20 high-volume ophthalmologist practices in Westside and South LA to implement AI diagnostic tools, targeting 15% revenue uplift within six months.</w:t>
      </w:r>
    </w:p>
    <w:p>
      <w:pPr>
        <w:numPr>
          <w:ilvl w:val="0"/>
          <w:numId w:val="1006"/>
        </w:numPr>
        <w:pStyle w:val="Compact"/>
      </w:pPr>
      <w:r>
        <w:t xml:space="preserve">Develop a "Community Eye Health" initiative partnering with local clinics serving underinsured populations, enhancing brand reputation while capturing new patient segments.</w:t>
      </w:r>
    </w:p>
    <w:p>
      <w:pPr>
        <w:pStyle w:val="FirstParagraph"/>
      </w:pPr>
      <w:r>
        <w:t xml:space="preserve">In summary, the Los Angeles ophthalmology market remains robust and strategically vital for vendors committed to understanding the region's unique healthcare ecosystem. By aligning sales strategies with the specific needs of United States Los Angeles ophthalmologists—particularly their requirements for technology integration, cultural competence, and value-based care solutions—this report demonstrates that our company is positioned to capture significant market share in 2024 and beyond.</w:t>
      </w:r>
    </w:p>
    <w:p>
      <w:pPr>
        <w:pStyle w:val="BodyText"/>
      </w:pPr>
      <w:r>
        <w:rPr>
          <w:bCs/>
          <w:b/>
        </w:rPr>
        <w:t xml:space="preserve">APPENDIX: KEY METRICS SUMMARY</w:t>
      </w:r>
    </w:p>
    <w:p>
      <w:pPr>
        <w:numPr>
          <w:ilvl w:val="0"/>
          <w:numId w:val="1007"/>
        </w:numPr>
        <w:pStyle w:val="Compact"/>
      </w:pPr>
      <w:r>
        <w:rPr>
          <w:iCs/>
          <w:i/>
        </w:rPr>
        <w:t xml:space="preserve">Patient Acquisition Cost (PAC):</w:t>
      </w:r>
      <w:r>
        <w:t xml:space="preserve"> </w:t>
      </w:r>
      <w:r>
        <w:t xml:space="preserve">$187 per new patient (vs. national avg $215)</w:t>
      </w:r>
    </w:p>
    <w:p>
      <w:pPr>
        <w:numPr>
          <w:ilvl w:val="0"/>
          <w:numId w:val="1007"/>
        </w:numPr>
        <w:pStyle w:val="Compact"/>
      </w:pPr>
      <w:r>
        <w:rPr>
          <w:iCs/>
          <w:i/>
        </w:rPr>
        <w:t xml:space="preserve">Ophthalmologist Retention Rate:</w:t>
      </w:r>
      <w:r>
        <w:t xml:space="preserve"> </w:t>
      </w:r>
      <w:r>
        <w:t xml:space="preserve">76% in LA practices vs. 64% nationally</w:t>
      </w:r>
    </w:p>
    <w:p>
      <w:pPr>
        <w:numPr>
          <w:ilvl w:val="0"/>
          <w:numId w:val="1007"/>
        </w:numPr>
        <w:pStyle w:val="Compact"/>
      </w:pPr>
      <w:r>
        <w:rPr>
          <w:iCs/>
          <w:i/>
        </w:rPr>
        <w:t xml:space="preserve">Technology Adoption Cycle:</w:t>
      </w:r>
      <w:r>
        <w:t xml:space="preserve"> </w:t>
      </w:r>
      <w:r>
        <w:t xml:space="preserve">9 months (faster than US average of 14 months)</w:t>
      </w:r>
    </w:p>
    <w:p>
      <w:pPr>
        <w:numPr>
          <w:ilvl w:val="0"/>
          <w:numId w:val="1007"/>
        </w:numPr>
        <w:pStyle w:val="Compact"/>
      </w:pPr>
      <w:r>
        <w:rPr>
          <w:iCs/>
          <w:i/>
        </w:rPr>
        <w:t xml:space="preserve">Predicted Market Growth (2023-2025):</w:t>
      </w:r>
      <w:r>
        <w:t xml:space="preserve"> </w:t>
      </w:r>
      <w:r>
        <w:t xml:space="preserve">9.3% CAGR in Los Angeles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Market Analysis - United States Los Angeles</dc:title>
  <dc:creator/>
  <dc:language>en</dc:language>
  <cp:keywords/>
  <dcterms:created xsi:type="dcterms:W3CDTF">2026-07-24T13:03:06Z</dcterms:created>
  <dcterms:modified xsi:type="dcterms:W3CDTF">2026-07-24T13:03:06Z</dcterms:modified>
</cp:coreProperties>
</file>

<file path=docProps/custom.xml><?xml version="1.0" encoding="utf-8"?>
<Properties xmlns="http://schemas.openxmlformats.org/officeDocument/2006/custom-properties" xmlns:vt="http://schemas.openxmlformats.org/officeDocument/2006/docPropsVTypes"/>
</file>