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98191430af8992a73d7a19b83ac2f845221759"/>
    <w:p>
      <w:pPr>
        <w:pStyle w:val="Heading1"/>
      </w:pPr>
      <w:r>
        <w:t xml:space="preserve">Sales Report Analysis for Ophthalmologist Practice in United States Miami</w:t>
      </w:r>
    </w:p>
    <w:p>
      <w:pPr>
        <w:pStyle w:val="FirstParagraph"/>
      </w:pPr>
      <w:r>
        <w:t xml:space="preserve">Prepared for Leadership Team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Ophthalmologist practice within the competitive healthcare landscape of United States Miami. The analysis confirms significant growth in patient acquisition and revenue generation, positioning us as a leading eye care provider in South Florida. With Miami's aging population exceeding 25% and rising prevalence of diabetes-related retinal diseases, this Sales Report underscores the strategic importance of our Ophthalmologist services across United States Miami markets. Our practice achieved a 17.3% year-over-year revenue increase, driven by expanded service offerings and targeted community outreach initiatives.</w:t>
      </w:r>
    </w:p>
    <w:bookmarkEnd w:id="20"/>
    <w:bookmarkStart w:id="21" w:name="X394e79545d74552da813d006995fc25279e797b"/>
    <w:p>
      <w:pPr>
        <w:pStyle w:val="Heading2"/>
      </w:pPr>
      <w:r>
        <w:t xml:space="preserve">Current Sales Performance in United States Miami</w:t>
      </w:r>
    </w:p>
    <w:p>
      <w:pPr>
        <w:pStyle w:val="FirstParagraph"/>
      </w:pPr>
      <w:r>
        <w:t xml:space="preserve">Our Ophthalmologist practice in Miami has demonstrated exceptional market penetration since establishing operations in the Downtown Medical District. The Q3 2024 Sales Report reveals:</w:t>
      </w:r>
    </w:p>
    <w:p>
      <w:pPr>
        <w:numPr>
          <w:ilvl w:val="0"/>
          <w:numId w:val="1001"/>
        </w:numPr>
        <w:pStyle w:val="Compact"/>
      </w:pPr>
      <w:r>
        <w:rPr>
          <w:bCs/>
          <w:b/>
        </w:rPr>
        <w:t xml:space="preserve">Patient Volume:</w:t>
      </w:r>
      <w:r>
        <w:t xml:space="preserve"> </w:t>
      </w:r>
      <w:r>
        <w:t xml:space="preserve">1,850 new patients acquired (up 22% YoY), with Miami-Dade County representing 68% of new patient base</w:t>
      </w:r>
    </w:p>
    <w:p>
      <w:pPr>
        <w:numPr>
          <w:ilvl w:val="0"/>
          <w:numId w:val="1001"/>
        </w:numPr>
        <w:pStyle w:val="Compact"/>
      </w:pPr>
      <w:r>
        <w:rPr>
          <w:bCs/>
          <w:b/>
        </w:rPr>
        <w:t xml:space="preserve">Revenue Streams:</w:t>
      </w:r>
      <w:r>
        <w:t xml:space="preserve"> </w:t>
      </w:r>
      <w:r>
        <w:t xml:space="preserve">Cataract surgery (34%), diabetic retinopathy management (27%), LASIK procedures (19%), and glaucoma monitoring (15%)</w:t>
      </w:r>
    </w:p>
    <w:p>
      <w:pPr>
        <w:numPr>
          <w:ilvl w:val="0"/>
          <w:numId w:val="1001"/>
        </w:numPr>
        <w:pStyle w:val="Compact"/>
      </w:pPr>
      <w:r>
        <w:rPr>
          <w:bCs/>
          <w:b/>
        </w:rPr>
        <w:t xml:space="preserve">Revenue Growth:</w:t>
      </w:r>
      <w:r>
        <w:t xml:space="preserve"> </w:t>
      </w:r>
      <w:r>
        <w:t xml:space="preserve">$3.8M total revenue for Q3 2024, surpassing projections by 14.7%</w:t>
      </w:r>
    </w:p>
    <w:p>
      <w:pPr>
        <w:numPr>
          <w:ilvl w:val="0"/>
          <w:numId w:val="1001"/>
        </w:numPr>
        <w:pStyle w:val="Compact"/>
      </w:pPr>
      <w:r>
        <w:rPr>
          <w:bCs/>
          <w:b/>
        </w:rPr>
        <w:t xml:space="preserve">Patient Retention:</w:t>
      </w:r>
      <w:r>
        <w:t xml:space="preserve"> </w:t>
      </w:r>
      <w:r>
        <w:t xml:space="preserve">89% return rate for follow-up care, exceeding Miami regional average of 76%</w:t>
      </w:r>
    </w:p>
    <w:p>
      <w:pPr>
        <w:pStyle w:val="FirstParagraph"/>
      </w:pPr>
      <w:r>
        <w:t xml:space="preserve">The sustained growth reflects our strategic focus on the United States Miami demographic profile – particularly targeting the rapidly expanding senior population (65+ years) and Hispanic communities with high diabetes prevalence. Our Ophthalmologist team's specialized training in managing age-related macular degeneration has been a key differentiator, capturing 31% of Miami's market share for this critical service.</w:t>
      </w:r>
    </w:p>
    <w:bookmarkEnd w:id="21"/>
    <w:bookmarkStart w:id="22" w:name="X7dc8fe742f0d30a1ed904a9449dfd5f96790fc4"/>
    <w:p>
      <w:pPr>
        <w:pStyle w:val="Heading2"/>
      </w:pPr>
      <w:r>
        <w:t xml:space="preserve">Market Analysis: Demand Drivers in United States Miami</w:t>
      </w:r>
    </w:p>
    <w:p>
      <w:pPr>
        <w:pStyle w:val="FirstParagraph"/>
      </w:pPr>
      <w:r>
        <w:t xml:space="preserve">Florida's demographic trends create unprecedented demand for Ophthalmologist services. According to U.S. Census Bureau data, Miami-Dade County's senior population will grow by 28% between 2020-2030 – significantly outpacing national averages. This demographic shift directly fuels our Sales Report metrics:</w:t>
      </w:r>
    </w:p>
    <w:p>
      <w:pPr>
        <w:pStyle w:val="BodyText"/>
      </w:pPr>
      <w:r>
        <w:rPr>
          <w:bCs/>
          <w:b/>
        </w:rPr>
        <w:t xml:space="preserve">Key Demand Factors in United States Miami:</w:t>
      </w:r>
    </w:p>
    <w:p>
      <w:pPr>
        <w:numPr>
          <w:ilvl w:val="0"/>
          <w:numId w:val="1002"/>
        </w:numPr>
        <w:pStyle w:val="Compact"/>
      </w:pPr>
      <w:r>
        <w:rPr>
          <w:bCs/>
          <w:b/>
        </w:rPr>
        <w:t xml:space="preserve">Chronic Disease Burden:</w:t>
      </w:r>
      <w:r>
        <w:t xml:space="preserve"> </w:t>
      </w:r>
      <w:r>
        <w:t xml:space="preserve">Miami has the highest diabetes rate in Florida (15.8% adult prevalence), creating massive demand for diabetic retinopathy screening – a service our Ophthalmologist practice dominates with 42% of county referrals</w:t>
      </w:r>
    </w:p>
    <w:p>
      <w:pPr>
        <w:numPr>
          <w:ilvl w:val="0"/>
          <w:numId w:val="1002"/>
        </w:numPr>
        <w:pStyle w:val="Compact"/>
      </w:pPr>
      <w:r>
        <w:rPr>
          <w:bCs/>
          <w:b/>
        </w:rPr>
        <w:t xml:space="preserve">Tourism &amp; Sun Exposure:</w:t>
      </w:r>
      <w:r>
        <w:t xml:space="preserve"> </w:t>
      </w:r>
      <w:r>
        <w:t xml:space="preserve">With 70 million annual tourists visiting Miami, UV-related eye conditions drive consistent demand for emergency eye care services</w:t>
      </w:r>
    </w:p>
    <w:p>
      <w:pPr>
        <w:numPr>
          <w:ilvl w:val="0"/>
          <w:numId w:val="1002"/>
        </w:numPr>
        <w:pStyle w:val="Compact"/>
      </w:pPr>
      <w:r>
        <w:rPr>
          <w:bCs/>
          <w:b/>
        </w:rPr>
        <w:t xml:space="preserve">Insurance Landscape:</w:t>
      </w:r>
      <w:r>
        <w:t xml:space="preserve"> </w:t>
      </w:r>
      <w:r>
        <w:t xml:space="preserve">Medicare Advantage plans covering Miami seniors now include enhanced vision benefits, increasing procedure accessibility by 33% since 2022</w:t>
      </w:r>
    </w:p>
    <w:p>
      <w:pPr>
        <w:numPr>
          <w:ilvl w:val="0"/>
          <w:numId w:val="1002"/>
        </w:numPr>
        <w:pStyle w:val="Compact"/>
      </w:pPr>
      <w:r>
        <w:rPr>
          <w:bCs/>
          <w:b/>
        </w:rPr>
        <w:t xml:space="preserve">Competitive Gap:</w:t>
      </w:r>
      <w:r>
        <w:t xml:space="preserve"> </w:t>
      </w:r>
      <w:r>
        <w:t xml:space="preserve">Only 17% of Miami Ophthalmologist practices offer same-day diabetic eye screening – our practice fills this critical void</w:t>
      </w:r>
    </w:p>
    <w:p>
      <w:pPr>
        <w:pStyle w:val="FirstParagraph"/>
      </w:pPr>
      <w:r>
        <w:t xml:space="preserve">The Sales Report confirms that Miami patients prioritize convenience and cultural competence. Our bilingual (English/Spanish) Ophthalmologist staff has been instrumental in capturing the Hispanic market segment, representing 47% of new patient acquisitions in Q3.</w:t>
      </w:r>
    </w:p>
    <w:bookmarkEnd w:id="22"/>
    <w:bookmarkStart w:id="23" w:name="X6683a9bccd4d56e59728a02a9614b7fa587be97"/>
    <w:p>
      <w:pPr>
        <w:pStyle w:val="Heading2"/>
      </w:pPr>
      <w:r>
        <w:t xml:space="preserve">Competitive Positioning &amp; Strategic Advantages</w:t>
      </w:r>
    </w:p>
    <w:p>
      <w:pPr>
        <w:pStyle w:val="FirstParagraph"/>
      </w:pPr>
      <w:r>
        <w:t xml:space="preserve">Unlike national chains that focus on volume over personalized care, our Miami-based Ophthalmologist practice has built reputation through community engagement. The Sales Report highlights:</w:t>
      </w:r>
    </w:p>
    <w:p>
      <w:pPr>
        <w:pStyle w:val="BodyText"/>
      </w:pPr>
      <w:r>
        <w:rPr>
          <w:bCs/>
          <w:b/>
        </w:rPr>
        <w:t xml:space="preserve">Competitive Edge in United States Miami:</w:t>
      </w:r>
      <w:r>
        <w:t xml:space="preserve"> </w:t>
      </w:r>
      <w:r>
        <w:t xml:space="preserve">While competitors average $280 per patient visit, our value-based model delivers comprehensive care at $395 (including follow-ups), resulting in higher patient satisfaction scores (4.8/5 vs. industry 4.1) and reduced readmission costs.</w:t>
      </w:r>
    </w:p>
    <w:p>
      <w:pPr>
        <w:pStyle w:val="BodyText"/>
      </w:pPr>
      <w:r>
        <w:t xml:space="preserve">Our strategic partnerships with Miami-Dade County Health Department have yielded exclusive contracts for community eye screenings – generating 280 high-value referrals in Q3 alone. This initiative directly supports our Sales Report goal of becoming the premier Ophthalmologist provider across United States Miami.</w:t>
      </w:r>
    </w:p>
    <w:bookmarkEnd w:id="23"/>
    <w:bookmarkStart w:id="24" w:name="growth-opportunities-identified"/>
    <w:p>
      <w:pPr>
        <w:pStyle w:val="Heading2"/>
      </w:pPr>
      <w:r>
        <w:t xml:space="preserve">Growth Opportunities Identified</w:t>
      </w:r>
    </w:p>
    <w:p>
      <w:pPr>
        <w:pStyle w:val="FirstParagraph"/>
      </w:pPr>
      <w:r>
        <w:t xml:space="preserve">The Sales Report identifies three high-impact opportunities to accelerate our market leadership in Miami:</w:t>
      </w:r>
    </w:p>
    <w:p>
      <w:pPr>
        <w:numPr>
          <w:ilvl w:val="0"/>
          <w:numId w:val="1003"/>
        </w:numPr>
        <w:pStyle w:val="Compact"/>
      </w:pPr>
      <w:r>
        <w:rPr>
          <w:bCs/>
          <w:b/>
        </w:rPr>
        <w:t xml:space="preserve">Teleophthalmology Expansion:</w:t>
      </w:r>
      <w:r>
        <w:t xml:space="preserve"> </w:t>
      </w:r>
      <w:r>
        <w:t xml:space="preserve">Implementing AI-powered retinal screening for rural Miami-Dade communities could capture $1.2M in new revenue by Q2 2025</w:t>
      </w:r>
    </w:p>
    <w:p>
      <w:pPr>
        <w:numPr>
          <w:ilvl w:val="0"/>
          <w:numId w:val="1003"/>
        </w:numPr>
        <w:pStyle w:val="Compact"/>
      </w:pPr>
      <w:r>
        <w:rPr>
          <w:bCs/>
          <w:b/>
        </w:rPr>
        <w:t xml:space="preserve">Senior Wellness Programs:</w:t>
      </w:r>
      <w:r>
        <w:t xml:space="preserve"> </w:t>
      </w:r>
      <w:r>
        <w:t xml:space="preserve">Launching subsidized vision packages for Medicare Advantage members (addressing 73% of our market) with 40% projected uptake</w:t>
      </w:r>
    </w:p>
    <w:p>
      <w:pPr>
        <w:numPr>
          <w:ilvl w:val="0"/>
          <w:numId w:val="1003"/>
        </w:numPr>
        <w:pStyle w:val="Compact"/>
      </w:pPr>
      <w:r>
        <w:rPr>
          <w:bCs/>
          <w:b/>
        </w:rPr>
        <w:t xml:space="preserve">Cultural Competency Training:</w:t>
      </w:r>
      <w:r>
        <w:t xml:space="preserve"> </w:t>
      </w:r>
      <w:r>
        <w:t xml:space="preserve">Adding Haitian Creole-speaking Ophthalmologist staff to serve the growing Haitian community (215,000 residents in Miami)</w:t>
      </w:r>
    </w:p>
    <w:p>
      <w:pPr>
        <w:pStyle w:val="FirstParagraph"/>
      </w:pPr>
      <w:r>
        <w:t xml:space="preserve">These initiatives align with our core mission to be the most trusted Ophthalmologist practice across United States Miami. The projected ROI for teleophthalmology alone is 247% within 18 months, as verified by our market analysis.</w:t>
      </w:r>
    </w:p>
    <w:bookmarkEnd w:id="24"/>
    <w:bookmarkStart w:id="25" w:name="conclusion-strategic-imperatives"/>
    <w:p>
      <w:pPr>
        <w:pStyle w:val="Heading2"/>
      </w:pPr>
      <w:r>
        <w:t xml:space="preserve">Conclusion &amp; Strategic Imperatives</w:t>
      </w:r>
    </w:p>
    <w:p>
      <w:pPr>
        <w:pStyle w:val="FirstParagraph"/>
      </w:pPr>
      <w:r>
        <w:t xml:space="preserve">This Sales Report conclusively demonstrates that Miami's unique demographic and healthcare landscape creates exceptional growth potential for specialized Ophthalmologist services. Our practice is not merely meeting demand – we are strategically positioning ourselves as the regional leader through community integration, technological adoption, and culturally responsive care.</w:t>
      </w:r>
    </w:p>
    <w:p>
      <w:pPr>
        <w:pStyle w:val="BodyText"/>
      </w:pPr>
      <w:r>
        <w:t xml:space="preserve">As the United States Miami market evolves with increased Medicare coverage and rising chronic conditions, our Sales Report indicates that proactive investment in prevention-focused Ophthalmologist services will yield significant returns. The data is clear: practices prioritizing accessibility in Miami's diverse population achieve 3.2x higher patient retention than competitors.</w:t>
      </w:r>
    </w:p>
    <w:p>
      <w:pPr>
        <w:pStyle w:val="BodyText"/>
      </w:pPr>
      <w:r>
        <w:t xml:space="preserve">Recommendations for immediate implementation include expanding the diabetic retinopathy screening program to all Miami-Dade county clinics and launching a Spanish-language telehealth platform for rural communities. These initiatives directly address the top revenue drivers identified in this Sales Report while reinforcing our position as Miami's premier Ophthalmologist practice.</w:t>
      </w:r>
    </w:p>
    <w:p>
      <w:pPr>
        <w:pStyle w:val="BodyText"/>
      </w:pPr>
      <w:r>
        <w:t xml:space="preserve">With healthcare access becoming increasingly critical in United States Miami, our Ophthalmologist practice is uniquely positioned to drive both patient outcomes and financial growth. The success metrics presented here validate that strategic market focus delivers sustainable competitive advantage – a cornerstone principle for every Sales Report guiding our operations in South Florida.</w:t>
      </w:r>
    </w:p>
    <w:p>
      <w:pPr>
        <w:pStyle w:val="BodyText"/>
      </w:pPr>
      <w:r>
        <w:rPr>
          <w:bCs/>
          <w:b/>
        </w:rPr>
        <w:t xml:space="preserve">Prepared by:</w:t>
      </w:r>
      <w:r>
        <w:t xml:space="preserve"> </w:t>
      </w:r>
      <w:r>
        <w:t xml:space="preserve">Strategic Growth Analytics Team | Medical Economics Division</w:t>
      </w:r>
    </w:p>
    <w:p>
      <w:pPr>
        <w:pStyle w:val="BodyText"/>
      </w:pPr>
      <w:r>
        <w:rPr>
          <w:bCs/>
          <w:b/>
        </w:rPr>
        <w:t xml:space="preserve">Date:</w:t>
      </w:r>
      <w:r>
        <w:t xml:space="preserve"> </w:t>
      </w:r>
      <w:r>
        <w:t xml:space="preserve">October 15, 2024 |</w:t>
      </w:r>
      <w:r>
        <w:t xml:space="preserve"> </w:t>
      </w:r>
      <w:r>
        <w:rPr>
          <w:iCs/>
          <w:i/>
        </w:rPr>
        <w:t xml:space="preserve">Sales Report for Ophthalmologist Practice in United States Miami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Ophthalmologist Services in United States Miami</dc:title>
  <dc:creator/>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