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Ophthalmology</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aae5ac1be2645bb94b427fbfb0bf7ac2831f5b5"/>
    <w:p>
      <w:pPr>
        <w:pStyle w:val="Heading1"/>
      </w:pPr>
      <w:r>
        <w:t xml:space="preserve">Comprehensive Ophthalmologist Services Sales Performance Report: United States New York City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 Period:</w:t>
      </w:r>
      <w:r>
        <w:t xml:space="preserve"> </w:t>
      </w:r>
      <w:r>
        <w:t xml:space="preserve">Q3 2023 (July 1 - September 30)</w:t>
      </w:r>
      <w:r>
        <w:br/>
      </w:r>
      <w:r>
        <w:rPr>
          <w:bCs/>
          <w:b/>
        </w:rPr>
        <w:t xml:space="preserve">Distribution:</w:t>
      </w:r>
      <w:r>
        <w:t xml:space="preserve"> </w:t>
      </w:r>
      <w:r>
        <w:t xml:space="preserve">New York City Healthcare Administration, Regional Investors, Ophthalmology Practice Management</w:t>
      </w:r>
    </w:p>
    <w:bookmarkStart w:id="20" w:name="i.-executive-summary"/>
    <w:p>
      <w:pPr>
        <w:pStyle w:val="Heading2"/>
      </w:pPr>
      <w:r>
        <w:t xml:space="preserve">I. Executive Summary</w:t>
      </w:r>
    </w:p>
    <w:p>
      <w:pPr>
        <w:pStyle w:val="FirstParagraph"/>
      </w:pPr>
      <w:r>
        <w:t xml:space="preserve">This Sales Report details the performance of ophthalmologist services across our network of eye care facilities in the United States New York City metropolitan area. The Q3 2023 period demonstrated exceptional growth with a 17.3% year-over-year increase in revenue, totaling $4,852,000 from ophthalmologist-led patient encounters and related services. This represents the strongest quarterly performance in our NYC operations since establishing our flagship practice at Manhattan Eye &amp; Vision Center (MEVC) in 2018. The data underscores New York City's critical role as a national leader in advanced ophthalmology care, with demand surging due to aging demographics, high myopia prevalence, and increased insurance coverage under the Affordable Care Act.</w:t>
      </w:r>
    </w:p>
    <w:bookmarkEnd w:id="20"/>
    <w:bookmarkStart w:id="21" w:name="X408d847490dea1a7cf63b57b9f8910f5f9f2a81"/>
    <w:p>
      <w:pPr>
        <w:pStyle w:val="Heading2"/>
      </w:pPr>
      <w:r>
        <w:t xml:space="preserve">II. Key Performance Metrics: Ophthalmologist Services in United States New York City</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(Ophthalmologist Services)</w:t>
      </w:r>
    </w:p>
    <w:p>
      <w:pPr>
        <w:pStyle w:val="BodyText"/>
      </w:pPr>
      <w:r>
        <w:t xml:space="preserve">$4,852,000</w:t>
      </w:r>
    </w:p>
    <w:p>
      <w:pPr>
        <w:pStyle w:val="BodyText"/>
      </w:pPr>
      <w:r>
        <w:t xml:space="preserve">$4,137,500</w:t>
      </w:r>
    </w:p>
    <w:p>
      <w:pPr>
        <w:pStyle w:val="BodyText"/>
      </w:pPr>
      <w:r>
        <w:t xml:space="preserve">+17.3%</w:t>
      </w:r>
    </w:p>
    <w:p>
      <w:pPr>
        <w:pStyle w:val="BodyText"/>
      </w:pPr>
      <w:r>
        <w:t xml:space="preserve">Patients Served by Ophthalmologists</w:t>
      </w:r>
    </w:p>
    <w:p>
      <w:pPr>
        <w:pStyle w:val="BodyText"/>
      </w:pPr>
      <w:r>
        <w:t xml:space="preserve">28,650</w:t>
      </w:r>
    </w:p>
    <w:p>
      <w:pPr>
        <w:pStyle w:val="BodyText"/>
      </w:pPr>
      <w:r>
        <w:t xml:space="preserve">24,985</w:t>
      </w:r>
    </w:p>
    <w:p>
      <w:pPr>
        <w:pStyle w:val="BodyText"/>
      </w:pPr>
      <w:r>
        <w:t xml:space="preserve">+14.7%</w:t>
      </w:r>
    </w:p>
    <w:p>
      <w:pPr>
        <w:pStyle w:val="BodyText"/>
      </w:pPr>
      <w:r>
        <w:t xml:space="preserve">Average Revenue per Visit (ARPV)</w:t>
      </w:r>
    </w:p>
    <w:p>
      <w:pPr>
        <w:pStyle w:val="BodyText"/>
      </w:pPr>
      <w:r>
        <w:t xml:space="preserve">$169.35</w:t>
      </w:r>
    </w:p>
    <w:p>
      <w:pPr>
        <w:pStyle w:val="BodyText"/>
      </w:pPr>
      <w:r>
        <w:t xml:space="preserve">$165.60</w:t>
      </w:r>
    </w:p>
    <w:p>
      <w:pPr>
        <w:pStyle w:val="BodyText"/>
      </w:pPr>
      <w:r>
        <w:t xml:space="preserve">+2.3%</w:t>
      </w:r>
    </w:p>
    <w:p>
      <w:pPr>
        <w:pStyle w:val="BodyText"/>
      </w:pPr>
      <w:r>
        <w:t xml:space="preserve">Procedural Volume (Cataract/Surgery)</w:t>
      </w:r>
    </w:p>
    <w:p>
      <w:pPr>
        <w:pStyle w:val="BodyText"/>
      </w:pPr>
      <w:r>
        <w:t xml:space="preserve">&lt;</w:t>
      </w:r>
    </w:p>
    <w:p>
      <w:pPr>
        <w:pStyle w:val="BodyText"/>
      </w:pPr>
      <w:r>
        <w:t xml:space="preserve">4,200</w:t>
      </w:r>
    </w:p>
    <w:p>
      <w:pPr>
        <w:pStyle w:val="BodyText"/>
      </w:pPr>
      <w:r>
        <w:t xml:space="preserve">3,580</w:t>
      </w:r>
    </w:p>
    <w:p>
      <w:pPr>
        <w:pStyle w:val="BodyText"/>
      </w:pPr>
      <w:r>
        <w:t xml:space="preserve">Telehealth Consultations (Ophthalmologist-led)</w:t>
      </w:r>
    </w:p>
    <w:p>
      <w:pPr>
        <w:pStyle w:val="BodyText"/>
      </w:pPr>
      <w:r>
        <w:t xml:space="preserve">1,850</w:t>
      </w:r>
    </w:p>
    <w:p>
      <w:pPr>
        <w:pStyle w:val="BodyText"/>
      </w:pPr>
      <w:r>
        <w:t xml:space="preserve">925</w:t>
      </w:r>
    </w:p>
    <w:bookmarkEnd w:id="21"/>
    <w:bookmarkStart w:id="22" w:name="X645e0709bdf223e94a454dc14ee2a65363f5547"/>
    <w:p>
      <w:pPr>
        <w:pStyle w:val="Heading2"/>
      </w:pPr>
      <w:r>
        <w:t xml:space="preserve">III. Market Analysis: Why Ophthalmologist Demand is Thriving in New York City</w:t>
      </w:r>
    </w:p>
    <w:p>
      <w:pPr>
        <w:pStyle w:val="FirstParagraph"/>
      </w:pPr>
      <w:r>
        <w:t xml:space="preserve">The United States New York City market continues to set national benchmarks for ophthalmology service utilization. Three critical factors drive this performance:</w:t>
      </w:r>
    </w:p>
    <w:p>
      <w:pPr>
        <w:numPr>
          <w:ilvl w:val="0"/>
          <w:numId w:val="1001"/>
        </w:numPr>
        <w:pStyle w:val="Compact"/>
      </w:pPr>
      <w:r>
        <w:rPr>
          <w:bCs/>
          <w:b/>
        </w:rPr>
        <w:t xml:space="preserve">Demographic Imperative:</w:t>
      </w:r>
      <w:r>
        <w:t xml:space="preserve"> </w:t>
      </w:r>
      <w:r>
        <w:t xml:space="preserve">NYC's rapidly aging population (18.7% aged 65+) creates unprecedented demand for cataract surgery, diabetic retinopathy management, and glaucoma monitoring – services exclusively provided by certified ophthalmologists. Our data shows patients over 65 generate 42% of total revenue.</w:t>
      </w:r>
    </w:p>
    <w:p>
      <w:pPr>
        <w:numPr>
          <w:ilvl w:val="0"/>
          <w:numId w:val="1001"/>
        </w:numPr>
        <w:pStyle w:val="Compact"/>
      </w:pPr>
      <w:r>
        <w:rPr>
          <w:bCs/>
          <w:b/>
        </w:rPr>
        <w:t xml:space="preserve">Insurance Coverage Expansion:</w:t>
      </w:r>
      <w:r>
        <w:t xml:space="preserve"> </w:t>
      </w:r>
      <w:r>
        <w:t xml:space="preserve">Following New York State's Medicaid expansion in 2019, ophthalmologist visits under Medicare Advantage plans surged by 31% YoY. This directly increased patient accessibility across boroughs including Brooklyn, Queens, and The Bronx.</w:t>
      </w:r>
    </w:p>
    <w:p>
      <w:pPr>
        <w:numPr>
          <w:ilvl w:val="0"/>
          <w:numId w:val="1001"/>
        </w:numPr>
        <w:pStyle w:val="Compact"/>
      </w:pPr>
      <w:r>
        <w:rPr>
          <w:bCs/>
          <w:b/>
        </w:rPr>
        <w:t xml:space="preserve">Technological Adoption:</w:t>
      </w:r>
      <w:r>
        <w:t xml:space="preserve"> </w:t>
      </w:r>
      <w:r>
        <w:t xml:space="preserve">NYC ophthalmologists now leverage AI-powered retinal imaging systems (like IDx-DR) that increase diagnostic accuracy by 28% and enable higher-value service bundling – driving both patient volume and premium revenue streams.</w:t>
      </w:r>
    </w:p>
    <w:bookmarkEnd w:id="22"/>
    <w:bookmarkStart w:id="23" w:name="Xbfb0ac74474622734c80716f452db2c0424a687"/>
    <w:p>
      <w:pPr>
        <w:pStyle w:val="Heading2"/>
      </w:pPr>
      <w:r>
        <w:t xml:space="preserve">IV. Competitive Landscape &amp; Strategic Positioning</w:t>
      </w:r>
    </w:p>
    <w:p>
      <w:pPr>
        <w:pStyle w:val="FirstParagraph"/>
      </w:pPr>
      <w:r>
        <w:t xml:space="preserve">Our Sales Report indicates NYC's ophthalmology market remains highly competitive, yet our practice has gained significant ground. Key insights from the United States New York City market analysis include:</w:t>
      </w:r>
    </w:p>
    <w:p>
      <w:pPr>
        <w:pStyle w:val="BlockText"/>
      </w:pPr>
      <w:r>
        <w:t xml:space="preserve">"While competitor practices in Manhattan report 8-10% growth, our 17.3% YoY increase stems from specialized service integration – specifically our 'Ophthalmologist Concierge Program' offering same-day diabetic eye exams and laser surgery coordination. This model aligns perfectly with NYC's high-stress professional demographic seeking efficiency."</w:t>
      </w:r>
    </w:p>
    <w:p>
      <w:pPr>
        <w:pStyle w:val="FirstParagraph"/>
      </w:pPr>
      <w:r>
        <w:t xml:space="preserve">Competitor benchmarking reveals that only 12% of NYC ophthalmology practices offer integrated surgical suites, while our MEVC facility operates a full-service ambulatory surgical center (ASC) – directly contributing to 34% higher average revenue per procedure compared to the market median.</w:t>
      </w:r>
    </w:p>
    <w:bookmarkEnd w:id="23"/>
    <w:bookmarkStart w:id="24" w:name="Xfa160654d92aaef9ba006cdad66b9eb3499b8cc"/>
    <w:p>
      <w:pPr>
        <w:pStyle w:val="Heading2"/>
      </w:pPr>
      <w:r>
        <w:t xml:space="preserve">V. Geographic Performance Breakdown: United States New York City</w:t>
      </w:r>
    </w:p>
    <w:p>
      <w:pPr>
        <w:pStyle w:val="FirstParagraph"/>
      </w:pPr>
      <w:r>
        <w:t xml:space="preserve">Borough</w:t>
      </w:r>
    </w:p>
    <w:p>
      <w:pPr>
        <w:pStyle w:val="BodyText"/>
      </w:pPr>
      <w:r>
        <w:t xml:space="preserve">Revenue Generated</w:t>
      </w:r>
    </w:p>
    <w:p>
      <w:pPr>
        <w:pStyle w:val="BodyText"/>
      </w:pPr>
      <w:r>
        <w:t xml:space="preserve">% of Total NYC Revenue</w:t>
      </w:r>
    </w:p>
    <w:p>
      <w:pPr>
        <w:pStyle w:val="BodyText"/>
      </w:pPr>
      <w:r>
        <w:t xml:space="preserve">Key Growth Drivers</w:t>
      </w:r>
    </w:p>
    <w:p>
      <w:pPr>
        <w:pStyle w:val="BodyText"/>
      </w:pPr>
      <w:r>
        <w:t xml:space="preserve">Manhattan</w:t>
      </w:r>
    </w:p>
    <w:p>
      <w:pPr>
        <w:pStyle w:val="BodyText"/>
      </w:pPr>
      <w:r>
        <w:t xml:space="preserve">$2,410,000</w:t>
      </w:r>
    </w:p>
    <w:p>
      <w:pPr>
        <w:pStyle w:val="BodyText"/>
      </w:pPr>
      <w:r>
        <w:t xml:space="preserve">49.7%</w:t>
      </w:r>
    </w:p>
    <w:p>
      <w:pPr>
        <w:pStyle w:val="BodyText"/>
      </w:pPr>
      <w:r>
        <w:t xml:space="preserve">Luxury concierge services, corporate wellness programs</w:t>
      </w:r>
    </w:p>
    <w:p>
      <w:pPr>
        <w:pStyle w:val="BodyText"/>
      </w:pPr>
      <w:r>
        <w:t xml:space="preserve">Bronx</w:t>
      </w:r>
    </w:p>
    <w:p>
      <w:pPr>
        <w:pStyle w:val="BodyText"/>
      </w:pPr>
      <w:r>
        <w:t xml:space="preserve">$685,500</w:t>
      </w:r>
    </w:p>
    <w:bookmarkEnd w:id="24"/>
    <w:bookmarkStart w:id="25" w:name="X1c22210a001a74b559d192ebdb3c45cf7be3364"/>
    <w:p>
      <w:pPr>
        <w:pStyle w:val="Heading2"/>
      </w:pPr>
      <w:r>
        <w:t xml:space="preserve">VI. Revenue Diversification Strategy: Beyond Traditional Ophthalmologist Fees</w:t>
      </w:r>
    </w:p>
    <w:p>
      <w:pPr>
        <w:pStyle w:val="FirstParagraph"/>
      </w:pPr>
      <w:r>
        <w:t xml:space="preserve">This Sales Report highlights our strategic shift from fee-for-service models to value-based revenue streams:</w:t>
      </w:r>
    </w:p>
    <w:p>
      <w:pPr>
        <w:numPr>
          <w:ilvl w:val="0"/>
          <w:numId w:val="1002"/>
        </w:numPr>
        <w:pStyle w:val="Compact"/>
      </w:pPr>
      <w:r>
        <w:rPr>
          <w:bCs/>
          <w:b/>
        </w:rPr>
        <w:t xml:space="preserve">Preventive Care Bundles:</w:t>
      </w:r>
      <w:r>
        <w:t xml:space="preserve"> </w:t>
      </w:r>
      <w:r>
        <w:t xml:space="preserve">32% of patients now enroll in annual "Vision Wellness Plans" ($499/year) – including comprehensive exams, optical dispensing, and telehealth follow-ups. This created $1.2M in recurring revenue during Q3.</w:t>
      </w:r>
    </w:p>
    <w:p>
      <w:pPr>
        <w:numPr>
          <w:ilvl w:val="0"/>
          <w:numId w:val="1002"/>
        </w:numPr>
        <w:pStyle w:val="Compact"/>
      </w:pPr>
      <w:r>
        <w:rPr>
          <w:bCs/>
          <w:b/>
        </w:rPr>
        <w:t xml:space="preserve">Specialized Ophthalmologist Partnerships:</w:t>
      </w:r>
      <w:r>
        <w:t xml:space="preserve"> </w:t>
      </w:r>
      <w:r>
        <w:t xml:space="preserve">Collaborations with NYC-based retinal specialists have increased complex case referrals by 41%, generating higher-margin surgical revenue.</w:t>
      </w:r>
    </w:p>
    <w:p>
      <w:pPr>
        <w:numPr>
          <w:ilvl w:val="0"/>
          <w:numId w:val="1002"/>
        </w:numPr>
        <w:pStyle w:val="Compact"/>
      </w:pPr>
      <w:r>
        <w:rPr>
          <w:bCs/>
          <w:b/>
        </w:rPr>
        <w:t xml:space="preserve">Pharmaceutical Reimbursement Programs:</w:t>
      </w:r>
      <w:r>
        <w:t xml:space="preserve"> </w:t>
      </w:r>
      <w:r>
        <w:t xml:space="preserve">Leveraging ophthalmologist-prescribed anti-VEGF therapies (e.g., Lucentis, Eylea) through Medicare Part D contracts – contributing $820K in Q3 alone.</w:t>
      </w:r>
    </w:p>
    <w:bookmarkEnd w:id="25"/>
    <w:bookmarkStart w:id="26" w:name="vii.-challenges-opportunity-assessment"/>
    <w:p>
      <w:pPr>
        <w:pStyle w:val="Heading2"/>
      </w:pPr>
      <w:r>
        <w:t xml:space="preserve">VII. Challenges &amp; Opportunity Assessment</w:t>
      </w:r>
    </w:p>
    <w:p>
      <w:pPr>
        <w:pStyle w:val="FirstParagraph"/>
      </w:pPr>
      <w:r>
        <w:t xml:space="preserve">While the Sales Report reflects strong performance, three challenges require immediate attention:</w:t>
      </w:r>
    </w:p>
    <w:p>
      <w:pPr>
        <w:numPr>
          <w:ilvl w:val="0"/>
          <w:numId w:val="1003"/>
        </w:numPr>
        <w:pStyle w:val="Compact"/>
      </w:pPr>
      <w:r>
        <w:rPr>
          <w:bCs/>
          <w:b/>
        </w:rPr>
        <w:t xml:space="preserve">Staffing Shortages:</w:t>
      </w:r>
      <w:r>
        <w:t xml:space="preserve"> </w:t>
      </w:r>
      <w:r>
        <w:t xml:space="preserve">NYC's physician burnout crisis has reduced ophthalmologist availability by 9% YoY, limiting capacity for high-demand procedures.</w:t>
      </w:r>
    </w:p>
    <w:p>
      <w:pPr>
        <w:numPr>
          <w:ilvl w:val="0"/>
          <w:numId w:val="1003"/>
        </w:numPr>
        <w:pStyle w:val="Compact"/>
      </w:pPr>
      <w:r>
        <w:rPr>
          <w:bCs/>
          <w:b/>
        </w:rPr>
        <w:t xml:space="preserve">Insurance Reimbursement Pressures:</w:t>
      </w:r>
      <w:r>
        <w:t xml:space="preserve"> </w:t>
      </w:r>
      <w:r>
        <w:t xml:space="preserve">Medicare reimbursement cuts for cataract surgery (5.8% reduction effective Jan 2024) threaten margin expansion.</w:t>
      </w:r>
    </w:p>
    <w:p>
      <w:pPr>
        <w:numPr>
          <w:ilvl w:val="0"/>
          <w:numId w:val="1003"/>
        </w:numPr>
        <w:pStyle w:val="Compact"/>
      </w:pPr>
      <w:r>
        <w:rPr>
          <w:bCs/>
          <w:b/>
        </w:rPr>
        <w:t xml:space="preserve">Digital Health Adoption:</w:t>
      </w:r>
      <w:r>
        <w:t xml:space="preserve"> </w:t>
      </w:r>
      <w:r>
        <w:t xml:space="preserve">Only 37% of NYC patients utilize our teleophthalmology platform – a critical gap versus national benchmarks (63%).</w:t>
      </w:r>
    </w:p>
    <w:bookmarkEnd w:id="26"/>
    <w:bookmarkStart w:id="27" w:name="X9aa9c6b448f1a5fedf72b384c009572988d562b"/>
    <w:p>
      <w:pPr>
        <w:pStyle w:val="Heading2"/>
      </w:pPr>
      <w:r>
        <w:t xml:space="preserve">VIII. Strategic Recommendations for United States New York City Operations</w:t>
      </w:r>
    </w:p>
    <w:p>
      <w:pPr>
        <w:pStyle w:val="FirstParagraph"/>
      </w:pPr>
      <w:r>
        <w:t xml:space="preserve">Based on this Sales Report, we propose:</w:t>
      </w:r>
    </w:p>
    <w:p>
      <w:pPr>
        <w:numPr>
          <w:ilvl w:val="0"/>
          <w:numId w:val="1004"/>
        </w:numPr>
        <w:pStyle w:val="Compact"/>
      </w:pPr>
      <w:r>
        <w:rPr>
          <w:bCs/>
          <w:b/>
        </w:rPr>
        <w:t xml:space="preserve">Expand Ophthalmologist Residency Pipeline:</w:t>
      </w:r>
      <w:r>
        <w:t xml:space="preserve"> </w:t>
      </w:r>
      <w:r>
        <w:t xml:space="preserve">Partner with NYU Langone and Mount Sinai to create a NYC-specific ophthalmology residency track – directly addressing staffing gaps.</w:t>
      </w:r>
    </w:p>
    <w:p>
      <w:pPr>
        <w:numPr>
          <w:ilvl w:val="0"/>
          <w:numId w:val="1004"/>
        </w:numPr>
        <w:pStyle w:val="Compact"/>
      </w:pPr>
      <w:r>
        <w:rPr>
          <w:bCs/>
          <w:b/>
        </w:rPr>
        <w:t xml:space="preserve">Leverage Data for Personalized Marketing:</w:t>
      </w:r>
      <w:r>
        <w:t xml:space="preserve"> </w:t>
      </w:r>
      <w:r>
        <w:t xml:space="preserve">Implement AI-driven patient acquisition targeting high-risk demographics (e.g., diabetic patients in Harlem, Upper East Side seniors) using NYC health department data.</w:t>
      </w:r>
    </w:p>
    <w:p>
      <w:pPr>
        <w:numPr>
          <w:ilvl w:val="0"/>
          <w:numId w:val="1004"/>
        </w:numPr>
        <w:pStyle w:val="Compact"/>
      </w:pPr>
      <w:r>
        <w:rPr>
          <w:bCs/>
          <w:b/>
        </w:rPr>
        <w:t xml:space="preserve">Launch "NYC Vision Equity Initiative":</w:t>
      </w:r>
      <w:r>
        <w:t xml:space="preserve"> </w:t>
      </w:r>
      <w:r>
        <w:t xml:space="preserve">Offer sliding-scale fees for ophthalmologist services in underserved boroughs (Queens, Bronx), funded through state healthcare grants – expanding market share while fulfilling social responsibility goals.</w:t>
      </w:r>
    </w:p>
    <w:bookmarkEnd w:id="27"/>
    <w:bookmarkStart w:id="28" w:name="X3beb632db2a259a3538c8606424f1a52a081e43"/>
    <w:p>
      <w:pPr>
        <w:pStyle w:val="Heading2"/>
      </w:pPr>
      <w:r>
        <w:t xml:space="preserve">IX. Conclusion: Ophthalmologist Services as NYC's Healthcare Growth Engine</w:t>
      </w:r>
    </w:p>
    <w:p>
      <w:pPr>
        <w:pStyle w:val="FirstParagraph"/>
      </w:pPr>
      <w:r>
        <w:t xml:space="preserve">This comprehensive Sales Report confirms that ophthalmology services remain a high-growth segment within the United States New York City healthcare ecosystem. The 17.3% YoY revenue growth outpaces the national average for outpatient specialty care by 9.2 percentage points, validating our strategic focus on advanced ophthalmologist-led service delivery. As NYC continues to lead in medical innovation and demographic shifts, our ophthalmologist practice model – combining clinical excellence with market-responsive business strategies – positions us for sustained leadership in the most competitive healthcare market in America.</w:t>
      </w:r>
    </w:p>
    <w:p>
      <w:pPr>
        <w:pStyle w:val="BodyText"/>
      </w:pPr>
      <w:r>
        <w:rPr>
          <w:bCs/>
          <w:b/>
        </w:rPr>
        <w:t xml:space="preserve">Forward-Looking Projection:</w:t>
      </w:r>
      <w:r>
        <w:t xml:space="preserve"> </w:t>
      </w:r>
      <w:r>
        <w:t xml:space="preserve">With the implementation of these recommendations, we project 22-25% revenue growth for Q4 2023 and full-year 2024 exceeding $19.5M from ophthalmologist services alone in United States New York City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Ophthalmology Sales Performance Report - United States New York City</dc:title>
  <dc:creator/>
  <dc:language>en</dc:language>
  <cp:keywords/>
  <dcterms:created xsi:type="dcterms:W3CDTF">2025-12-11T06:57:45Z</dcterms:created>
  <dcterms:modified xsi:type="dcterms:W3CDTF">2025-12-11T06:57:45Z</dcterms:modified>
</cp:coreProperties>
</file>

<file path=docProps/custom.xml><?xml version="1.0" encoding="utf-8"?>
<Properties xmlns="http://schemas.openxmlformats.org/officeDocument/2006/custom-properties" xmlns:vt="http://schemas.openxmlformats.org/officeDocument/2006/docPropsVTypes"/>
</file>