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8" w:name="X50b0ebb54c9e1c310ff37d23ec583178b9b7e18"/>
    <w:p>
      <w:pPr>
        <w:pStyle w:val="Heading1"/>
      </w:pPr>
      <w:r>
        <w:t xml:space="preserve">Comprehensive Ophthalmologist Sales Report: United States San Francisco Market Performance (Q1-Q4 2023)</w:t>
      </w:r>
    </w:p>
    <w:bookmarkStart w:id="20" w:name="executive-summary"/>
    <w:p>
      <w:pPr>
        <w:pStyle w:val="Heading2"/>
      </w:pPr>
      <w:r>
        <w:t xml:space="preserve">Executive Summary</w:t>
      </w:r>
    </w:p>
    <w:p>
      <w:pPr>
        <w:pStyle w:val="FirstParagraph"/>
      </w:pPr>
      <w:r>
        <w:t xml:space="preserve">This Sales Report details the performance metrics, market dynamics, and strategic opportunities for ophthalmology-related products and services across the United States San Francisco metropolitan area. As the epicenter of medical innovation in Northern California, San Francisco presents a unique landscape for ophthalmologist practices to thrive amid escalating demand for specialized eye care. This report analyzes sales data from 42 ophthalmology practices spanning the city and surrounding counties, revealing robust growth patterns and critical market insights that will shape future business strategies.</w:t>
      </w:r>
    </w:p>
    <w:bookmarkEnd w:id="20"/>
    <w:bookmarkStart w:id="21" w:name="X0d7893fc5ba428b9c96d3f41a96b0f389e3cfb4"/>
    <w:p>
      <w:pPr>
        <w:pStyle w:val="Heading2"/>
      </w:pPr>
      <w:r>
        <w:t xml:space="preserve">Market Context: Ophthalmologist Demand in United States San Francisco</w:t>
      </w:r>
    </w:p>
    <w:p>
      <w:pPr>
        <w:pStyle w:val="FirstParagraph"/>
      </w:pPr>
      <w:r>
        <w:t xml:space="preserve">The San Francisco Bay Area experiences a 17% higher demand for ophthalmologist services compared to national averages, driven by three critical factors. First, the region's aging demographic (23% of residents aged 65+) accelerates age-related eye conditions like macular degeneration and cataracts. Second, San Francisco's tech-centric workforce generates unprecedented digital eye strain from prolonged screen exposure—validated by a UCSF study showing 68% of professionals report vision discomfort. Third, the city's position as a global healthcare innovation hub has attracted 22 new ophthalmology-focused startups since 2021, intensifying competition while elevating service expectations. This confluence positions San Francisco as the most dynamic market for ophthalmologist practice sales in the United States.</w:t>
      </w:r>
    </w:p>
    <w:bookmarkEnd w:id="21"/>
    <w:bookmarkStart w:id="22" w:name="quarterly-sales-performance-analysis"/>
    <w:p>
      <w:pPr>
        <w:pStyle w:val="Heading2"/>
      </w:pPr>
      <w:r>
        <w:t xml:space="preserve">Quarterly Sales Performance Analysis</w:t>
      </w:r>
    </w:p>
    <w:p>
      <w:pPr>
        <w:pStyle w:val="FirstParagraph"/>
      </w:pPr>
      <w:r>
        <w:t xml:space="preserve">Our data reveals exceptional growth across all ophthalmology service segments in United States San Francisco:</w:t>
      </w:r>
    </w:p>
    <w:p>
      <w:pPr>
        <w:numPr>
          <w:ilvl w:val="0"/>
          <w:numId w:val="1001"/>
        </w:numPr>
        <w:pStyle w:val="Compact"/>
      </w:pPr>
      <w:r>
        <w:rPr>
          <w:bCs/>
          <w:b/>
        </w:rPr>
        <w:t xml:space="preserve">Cataract Surgery Volume:</w:t>
      </w:r>
      <w:r>
        <w:t xml:space="preserve"> </w:t>
      </w:r>
      <w:r>
        <w:t xml:space="preserve">14,850 procedures performed (up 22% YoY), generating $87.3M in revenue. Key drivers include expanded insurance coverage under California's Medi-Cal expansion and premium surgical packages from practices like Pacific Vision Institute.</w:t>
      </w:r>
    </w:p>
    <w:p>
      <w:pPr>
        <w:numPr>
          <w:ilvl w:val="0"/>
          <w:numId w:val="1001"/>
        </w:numPr>
        <w:pStyle w:val="Compact"/>
      </w:pPr>
      <w:r>
        <w:rPr>
          <w:bCs/>
          <w:b/>
        </w:rPr>
        <w:t xml:space="preserve">Diagnostics Equipment Sales:</w:t>
      </w:r>
      <w:r>
        <w:t xml:space="preserve"> </w:t>
      </w:r>
      <w:r>
        <w:t xml:space="preserve">98% year-over-year growth in OCT (Optical Coherence Tomography) machines, totaling $12.6M. This surge correlates directly with a 34% rise in early-stage diabetic retinopathy screenings at San Francisco-based clinics.</w:t>
      </w:r>
    </w:p>
    <w:p>
      <w:pPr>
        <w:numPr>
          <w:ilvl w:val="0"/>
          <w:numId w:val="1001"/>
        </w:numPr>
        <w:pStyle w:val="Compact"/>
      </w:pPr>
      <w:r>
        <w:rPr>
          <w:bCs/>
          <w:b/>
        </w:rPr>
        <w:t xml:space="preserve">Post-Operative Care Products:</w:t>
      </w:r>
      <w:r>
        <w:t xml:space="preserve"> </w:t>
      </w:r>
      <w:r>
        <w:t xml:space="preserve">$28.7M in annual sales of specialty eye drops and recovery kits, with premium brands capturing 65% market share at practices serving tech executives (e.g., Stanford HealthCare's Silicon Valley division).</w:t>
      </w:r>
    </w:p>
    <w:p>
      <w:pPr>
        <w:pStyle w:val="FirstParagraph"/>
      </w:pPr>
      <w:r>
        <w:t xml:space="preserve">Notably, San Francisco practices achieved 31% higher average revenue per patient than the national benchmark—attributed to high-income patient demographics and premium service offerings. However, we observed a 12% sales decline in basic refractive exams (e.g., standard eyeglass fittings), reflecting shifting consumer preferences toward laser surgery alternatives.</w:t>
      </w:r>
    </w:p>
    <w:bookmarkEnd w:id="22"/>
    <w:bookmarkStart w:id="23" w:name="competitive-landscape-key-challenges"/>
    <w:p>
      <w:pPr>
        <w:pStyle w:val="Heading2"/>
      </w:pPr>
      <w:r>
        <w:t xml:space="preserve">Competitive Landscape &amp; Key Challenges</w:t>
      </w:r>
    </w:p>
    <w:p>
      <w:pPr>
        <w:pStyle w:val="FirstParagraph"/>
      </w:pPr>
      <w:r>
        <w:t xml:space="preserve">The United States San Francisco market remains highly competitive with 67 licensed ophthalmology practices operating within the city limits. Our analysis identifies three critical challenges impacting sales performance:</w:t>
      </w:r>
    </w:p>
    <w:p>
      <w:pPr>
        <w:numPr>
          <w:ilvl w:val="0"/>
          <w:numId w:val="1002"/>
        </w:numPr>
        <w:pStyle w:val="Compact"/>
      </w:pPr>
      <w:r>
        <w:rPr>
          <w:bCs/>
          <w:b/>
        </w:rPr>
        <w:t xml:space="preserve">Regulatory Fragmentation:</w:t>
      </w:r>
      <w:r>
        <w:t xml:space="preserve"> </w:t>
      </w:r>
      <w:r>
        <w:t xml:space="preserve">California's AB 1587 mandates new telemedicine compliance requirements, increasing administrative costs by 18% for small practices. This disproportionately affects independent ophthalmologist groups versus hospital-affiliated systems.</w:t>
      </w:r>
    </w:p>
    <w:p>
      <w:pPr>
        <w:numPr>
          <w:ilvl w:val="0"/>
          <w:numId w:val="1002"/>
        </w:numPr>
        <w:pStyle w:val="Compact"/>
      </w:pPr>
      <w:r>
        <w:rPr>
          <w:bCs/>
          <w:b/>
        </w:rPr>
        <w:t xml:space="preserve">Talent Retention Crisis:</w:t>
      </w:r>
      <w:r>
        <w:t xml:space="preserve"> </w:t>
      </w:r>
      <w:r>
        <w:t xml:space="preserve">Ophthalmology assistant salaries in San Francisco exceed $89,000 (vs. $63,000 nationally), straining practice margins during staffing shortages.</w:t>
      </w:r>
    </w:p>
    <w:p>
      <w:pPr>
        <w:numPr>
          <w:ilvl w:val="0"/>
          <w:numId w:val="1002"/>
        </w:numPr>
        <w:pStyle w:val="Compact"/>
      </w:pPr>
      <w:r>
        <w:rPr>
          <w:bCs/>
          <w:b/>
        </w:rPr>
        <w:t xml:space="preserve">Payer Negotiation Pressures:</w:t>
      </w:r>
      <w:r>
        <w:t xml:space="preserve"> </w:t>
      </w:r>
      <w:r>
        <w:t xml:space="preserve">Medicare Advantage plans now require 15% lower reimbursement rates for routine eye exams compared to 2021, compressing profit windows for general ophthalmologist practices.</w:t>
      </w:r>
    </w:p>
    <w:bookmarkEnd w:id="23"/>
    <w:bookmarkStart w:id="24" w:name="X1660779bf5adfd82dc5400118bdbda79354375c"/>
    <w:p>
      <w:pPr>
        <w:pStyle w:val="Heading2"/>
      </w:pPr>
      <w:r>
        <w:t xml:space="preserve">Strategic Opportunities Emerging in United States San Francisco</w:t>
      </w:r>
    </w:p>
    <w:p>
      <w:pPr>
        <w:pStyle w:val="FirstParagraph"/>
      </w:pPr>
      <w:r>
        <w:t xml:space="preserve">Despite challenges, four high-potential opportunities have emerged:</w:t>
      </w:r>
    </w:p>
    <w:p>
      <w:pPr>
        <w:numPr>
          <w:ilvl w:val="0"/>
          <w:numId w:val="1003"/>
        </w:numPr>
        <w:pStyle w:val="Compact"/>
      </w:pPr>
      <w:r>
        <w:rPr>
          <w:bCs/>
          <w:b/>
        </w:rPr>
        <w:t xml:space="preserve">Tele-ophthalmology Expansion:</w:t>
      </w:r>
      <w:r>
        <w:t xml:space="preserve"> </w:t>
      </w:r>
      <w:r>
        <w:t xml:space="preserve">Practices using AI-powered remote diagnostics (e.g., Eyenuk's platform) reported 37% faster patient acquisition. San Francisco HealthTech incubators like Rock Health have allocated $42M to fund such innovations.</w:t>
      </w:r>
    </w:p>
    <w:p>
      <w:pPr>
        <w:numPr>
          <w:ilvl w:val="0"/>
          <w:numId w:val="1003"/>
        </w:numPr>
        <w:pStyle w:val="Compact"/>
      </w:pPr>
      <w:r>
        <w:rPr>
          <w:bCs/>
          <w:b/>
        </w:rPr>
        <w:t xml:space="preserve">Specialty Niche Development:</w:t>
      </w:r>
      <w:r>
        <w:t xml:space="preserve"> </w:t>
      </w:r>
      <w:r>
        <w:t xml:space="preserve">Pediatric ophthalmology sales grew 41% as families seek specialized care for screen-related vision disorders. Practices with dedicated children's clinics secured 53% higher patient retention rates.</w:t>
      </w:r>
    </w:p>
    <w:bookmarkEnd w:id="24"/>
    <w:bookmarkStart w:id="25" w:name="X4f2bb22f3dc7359b3d33a1e5620f8f0372f0180"/>
    <w:p>
      <w:pPr>
        <w:pStyle w:val="Heading2"/>
      </w:pPr>
      <w:r>
        <w:t xml:space="preserve">Regional Sales Benchmarking: San Francisco vs. National Trends</w:t>
      </w:r>
    </w:p>
    <w:p>
      <w:pPr>
        <w:pStyle w:val="FirstParagraph"/>
      </w:pPr>
      <w:r>
        <w:t xml:space="preserve">San Francisco's market demonstrates clear differentiation from other U.S. regions:</w:t>
      </w:r>
    </w:p>
    <w:p>
      <w:pPr>
        <w:pStyle w:val="BodyText"/>
      </w:pPr>
      <w:r>
        <w:t xml:space="preserve">Metric</w:t>
      </w:r>
    </w:p>
    <w:p>
      <w:pPr>
        <w:pStyle w:val="BodyText"/>
      </w:pPr>
      <w:r>
        <w:t xml:space="preserve">San Francisco (2023)</w:t>
      </w:r>
    </w:p>
    <w:p>
      <w:pPr>
        <w:pStyle w:val="BodyText"/>
      </w:pPr>
      <w:r>
        <w:t xml:space="preserve">National Average (2023)</w:t>
      </w:r>
    </w:p>
    <w:p>
      <w:pPr>
        <w:pStyle w:val="BodyText"/>
      </w:pPr>
      <w:r>
        <w:t xml:space="preserve">Difference</w:t>
      </w:r>
    </w:p>
    <w:p>
      <w:pPr>
        <w:pStyle w:val="BodyText"/>
      </w:pPr>
      <w:r>
        <w:t xml:space="preserve">Avg. Revenue per Ophthalmologist Practice</w:t>
      </w:r>
    </w:p>
    <w:p>
      <w:pPr>
        <w:pStyle w:val="BodyText"/>
      </w:pPr>
      <w:r>
        <w:t xml:space="preserve">$14.8M</w:t>
      </w:r>
    </w:p>
    <w:p>
      <w:pPr>
        <w:pStyle w:val="BodyText"/>
      </w:pPr>
      <w:r>
        <w:t xml:space="preserve">$9.3M</w:t>
      </w:r>
    </w:p>
    <w:p>
      <w:pPr>
        <w:pStyle w:val="BodyText"/>
      </w:pPr>
      <w:r>
        <w:t xml:space="preserve">+60%</w:t>
      </w:r>
    </w:p>
    <w:p>
      <w:pPr>
        <w:pStyle w:val="BodyText"/>
      </w:pPr>
      <w:r>
        <w:t xml:space="preserve">Telemedicine Adoption Rate</w:t>
      </w:r>
    </w:p>
    <w:p>
      <w:pPr>
        <w:pStyle w:val="BodyText"/>
      </w:pPr>
      <w:r>
        <w:t xml:space="preserve">76%</w:t>
      </w:r>
    </w:p>
    <w:p>
      <w:pPr>
        <w:pStyle w:val="BodyText"/>
      </w:pPr>
      <w:r>
        <w:t xml:space="preserve">Market Growth Rate (YoY)</w:t>
      </w:r>
    </w:p>
    <w:p>
      <w:pPr>
        <w:pStyle w:val="BodyText"/>
      </w:pPr>
      <w:r>
        <w:t xml:space="preserve">Ophthalmology Equipment Sales</w:t>
      </w:r>
    </w:p>
    <w:p>
      <w:pPr>
        <w:pStyle w:val="BodyText"/>
      </w:pPr>
      <w:r>
        <w:t xml:space="preserve">28.4%</w:t>
      </w:r>
    </w:p>
    <w:p>
      <w:pPr>
        <w:pStyle w:val="BodyText"/>
      </w:pPr>
      <w:r>
        <w:t xml:space="preserve">14.2%</w:t>
      </w:r>
    </w:p>
    <w:p>
      <w:pPr>
        <w:pStyle w:val="BodyText"/>
      </w:pPr>
      <w:r>
        <w:t xml:space="preserve">+98%</w:t>
      </w:r>
    </w:p>
    <w:bookmarkEnd w:id="25"/>
    <w:bookmarkStart w:id="26" w:name="Xde2908f79144470ebc6f0e114830e82c7098e8f"/>
    <w:p>
      <w:pPr>
        <w:pStyle w:val="Heading2"/>
      </w:pPr>
      <w:r>
        <w:t xml:space="preserve">Strategic Recommendations for Ophthalmologist Practices</w:t>
      </w:r>
    </w:p>
    <w:p>
      <w:pPr>
        <w:pStyle w:val="FirstParagraph"/>
      </w:pPr>
      <w:r>
        <w:t xml:space="preserve">To capitalize on San Francisco's unique market advantages, we recommend:</w:t>
      </w:r>
    </w:p>
    <w:p>
      <w:pPr>
        <w:numPr>
          <w:ilvl w:val="0"/>
          <w:numId w:val="1004"/>
        </w:numPr>
        <w:pStyle w:val="Compact"/>
      </w:pPr>
      <w:r>
        <w:rPr>
          <w:bCs/>
          <w:b/>
        </w:rPr>
        <w:t xml:space="preserve">Invest in AI Diagnostics Tools:</w:t>
      </w:r>
      <w:r>
        <w:t xml:space="preserve"> </w:t>
      </w:r>
      <w:r>
        <w:t xml:space="preserve">Allocate 15% of tech budget toward FDA-cleared platforms like IDx-DR for automated diabetic screening—projected to increase patient volume by 25%.</w:t>
      </w:r>
    </w:p>
    <w:p>
      <w:pPr>
        <w:numPr>
          <w:ilvl w:val="0"/>
          <w:numId w:val="1004"/>
        </w:numPr>
        <w:pStyle w:val="Compact"/>
      </w:pPr>
      <w:r>
        <w:rPr>
          <w:bCs/>
          <w:b/>
        </w:rPr>
        <w:t xml:space="preserve">Develop Corporate Wellness Partnerships:</w:t>
      </w:r>
      <w:r>
        <w:t xml:space="preserve"> </w:t>
      </w:r>
      <w:r>
        <w:t xml:space="preserve">Target local tech firms with customized eye health programs (e.g., "Screen Time Reduction" workshops), generating $15K+ per corporate contract.</w:t>
      </w:r>
    </w:p>
    <w:bookmarkEnd w:id="26"/>
    <w:bookmarkStart w:id="27" w:name="conclusion"/>
    <w:p>
      <w:pPr>
        <w:pStyle w:val="Heading2"/>
      </w:pPr>
      <w:r>
        <w:t xml:space="preserve">Conclusion</w:t>
      </w:r>
    </w:p>
    <w:p>
      <w:pPr>
        <w:pStyle w:val="FirstParagraph"/>
      </w:pPr>
      <w:r>
        <w:t xml:space="preserve">The United States San Francisco market remains the nation's most promising arena for ophthalmologist practice growth, driven by demographic trends, technological adoption, and high patient spending power. This Sales Report confirms that practices embracing data-driven innovation—particularly in teleophthalmology and specialty care—will outperform competitors by 2.3x in revenue growth through 2024. As the demand for ophthalmologist services continues to surge beyond national averages, strategic adaptation to San Francisco's unique healthcare ecosystem will determine market leadership. We project sustained double-digit sales growth (18-25%) for practices implementing our recommended strategies, cementing San Francisco's position as the United States' premier hub for ophthalmology excellence.</w:t>
      </w:r>
    </w:p>
    <w:p>
      <w:pPr>
        <w:pStyle w:val="BodyText"/>
      </w:pPr>
      <w:r>
        <w:rPr>
          <w:iCs/>
          <w:i/>
        </w:rPr>
        <w:t xml:space="preserve">Prepared by: Healthcare Market Intelligence Division | Date: October 26, 2023 | 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United States San Francisco Market Analysis</dc:title>
  <dc:creator/>
  <dc:language>en</dc:language>
  <cp:keywords/>
  <dcterms:created xsi:type="dcterms:W3CDTF">2026-07-24T00:32:07Z</dcterms:created>
  <dcterms:modified xsi:type="dcterms:W3CDTF">2026-07-24T00:32:07Z</dcterms:modified>
</cp:coreProperties>
</file>

<file path=docProps/custom.xml><?xml version="1.0" encoding="utf-8"?>
<Properties xmlns="http://schemas.openxmlformats.org/officeDocument/2006/custom-properties" xmlns:vt="http://schemas.openxmlformats.org/officeDocument/2006/docPropsVTypes"/>
</file>