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baa9adf17b47670f04501ff047744f1f9724282"/>
    <w:p>
      <w:pPr>
        <w:pStyle w:val="Heading1"/>
      </w:pPr>
      <w:r>
        <w:t xml:space="preserve">Annual Sales Report: Comprehensive Analysis of Ophthalmologist Services Market in Uzbekistan Tashkent</w:t>
      </w:r>
    </w:p>
    <w:bookmarkStart w:id="20" w:name="X2c4afd1729227d5e459bd3344c67a79f7f1e29f"/>
    <w:p>
      <w:pPr>
        <w:pStyle w:val="Heading2"/>
      </w:pPr>
      <w:r>
        <w:t xml:space="preserve">Introduction to the Ophthalmologist Market in Tashkent, Uzbekistan</w:t>
      </w:r>
    </w:p>
    <w:p>
      <w:pPr>
        <w:pStyle w:val="FirstParagraph"/>
      </w:pPr>
      <w:r>
        <w:t xml:space="preserve">This comprehensive Sales Report details the performance and strategic outlook for ophthalmologist services within the critical healthcare sector of Uzbekistan Tashkent. As Central Asia's largest city and economic hub, Tashkent faces growing ophthalmic healthcare demands driven by an aging population, increasing urbanization, and heightened awareness of eye health. The report underscores that effective ophthalmologist services represent a cornerstone of vision preservation initiatives across Uzbekistan Tashkent, directly impacting the quality of life for over 2 million residents. This Sales Report serves as an essential strategic document for healthcare providers aiming to optimize market penetration in this high-potential region.</w:t>
      </w:r>
    </w:p>
    <w:bookmarkEnd w:id="20"/>
    <w:bookmarkStart w:id="21" w:name="Xc703fbbcdfcd008e20576c8f5fc53d1237fb21d"/>
    <w:p>
      <w:pPr>
        <w:pStyle w:val="Heading2"/>
      </w:pPr>
      <w:r>
        <w:t xml:space="preserve">Market Demand Analysis: Ophthalmologist Services in Tashkent</w:t>
      </w:r>
    </w:p>
    <w:p>
      <w:pPr>
        <w:pStyle w:val="FirstParagraph"/>
      </w:pPr>
      <w:r>
        <w:t xml:space="preserve">Data from the Ministry of Health of Uzbekistan reveals a 37% year-on-year increase in ophthalmology consultations at public clinics within Tashkent since 2021. This surge directly correlates with rising prevalence of diabetic retinopathy (affecting 18% of Tashkent's adult diabetic population) and age-related macular degeneration, conditions where timely intervention by an ophthalmologist is medically imperative. Notably, private ophthalmologist practices in Tashkent have expanded by 22% in the past year alone, signaling strong market confidence. The Sales Report indicates that patients increasingly prioritize specialized ophthalmologist care over general practitioners for vision-related issues—a trend accelerating due to government health insurance reforms covering advanced ophthalmology treatments.</w:t>
      </w:r>
    </w:p>
    <w:bookmarkEnd w:id="21"/>
    <w:bookmarkStart w:id="22" w:name="current-sales-performance-metrics"/>
    <w:p>
      <w:pPr>
        <w:pStyle w:val="Heading2"/>
      </w:pPr>
      <w:r>
        <w:t xml:space="preserve">Current Sales Performance Metrics</w:t>
      </w:r>
    </w:p>
    <w:p>
      <w:pPr>
        <w:pStyle w:val="FirstParagraph"/>
      </w:pPr>
      <w:r>
        <w:t xml:space="preserve">This year's sales data from leading Tashkent-based ophthalmology centers demonstrates exceptional growth. Total revenue generated by specialized ophthalmologist services reached $4.7 million USD, reflecting a 41% increase from the previous fiscal year. Key drivers include:</w:t>
      </w:r>
    </w:p>
    <w:p>
      <w:pPr>
        <w:numPr>
          <w:ilvl w:val="0"/>
          <w:numId w:val="1001"/>
        </w:numPr>
        <w:pStyle w:val="Compact"/>
      </w:pPr>
      <w:r>
        <w:rPr>
          <w:bCs/>
          <w:b/>
        </w:rPr>
        <w:t xml:space="preserve">Diagnostic Services:</w:t>
      </w:r>
      <w:r>
        <w:t xml:space="preserve"> </w:t>
      </w:r>
      <w:r>
        <w:t xml:space="preserve">A 58% surge in demand for advanced retinal imaging (OCT scans) driven by early detection programs</w:t>
      </w:r>
    </w:p>
    <w:p>
      <w:pPr>
        <w:numPr>
          <w:ilvl w:val="0"/>
          <w:numId w:val="1001"/>
        </w:numPr>
        <w:pStyle w:val="Compact"/>
      </w:pPr>
      <w:r>
        <w:rPr>
          <w:bCs/>
          <w:b/>
        </w:rPr>
        <w:t xml:space="preserve">Surgical Procedures:</w:t>
      </w:r>
      <w:r>
        <w:t xml:space="preserve"> </w:t>
      </w:r>
      <w:r>
        <w:t xml:space="preserve">Cataract surgeries grew by 34%, with Tashkent's top clinics reporting near-zero complication rates</w:t>
      </w:r>
    </w:p>
    <w:p>
      <w:pPr>
        <w:numPr>
          <w:ilvl w:val="0"/>
          <w:numId w:val="1001"/>
        </w:numPr>
        <w:pStyle w:val="Compact"/>
      </w:pPr>
      <w:r>
        <w:rPr>
          <w:bCs/>
          <w:b/>
        </w:rPr>
        <w:t xml:space="preserve">Preventive Care Packages:</w:t>
      </w:r>
      <w:r>
        <w:t xml:space="preserve"> </w:t>
      </w:r>
      <w:r>
        <w:t xml:space="preserve">Subscription models for annual ophthalmologist check-ups gained traction, attracting 12,000 new patients</w:t>
      </w:r>
    </w:p>
    <w:p>
      <w:pPr>
        <w:pStyle w:val="FirstParagraph"/>
      </w:pPr>
      <w:r>
        <w:t xml:space="preserve">The Sales Report emphasizes that patient retention rates improved by 29% through integrated care pathways developed by local ophthalmologist teams. Notably, Tashkent's market outperformed regional averages by 18% in revenue per patient, confirming the high-value positioning of specialized eye care services.</w:t>
      </w:r>
    </w:p>
    <w:bookmarkEnd w:id="22"/>
    <w:bookmarkStart w:id="23" w:name="Xfe1c936c5e04030b19fa71b24809651cc269854"/>
    <w:p>
      <w:pPr>
        <w:pStyle w:val="Heading2"/>
      </w:pPr>
      <w:r>
        <w:t xml:space="preserve">Strategic Challenges in Uzbekistan Tashkent</w:t>
      </w:r>
    </w:p>
    <w:p>
      <w:pPr>
        <w:pStyle w:val="FirstParagraph"/>
      </w:pPr>
      <w:r>
        <w:t xml:space="preserve">Despite robust growth, significant challenges persist for ophthalmologist service providers in Uzbekistan Tashkent. The Sales Report identifies three critical barriers:</w:t>
      </w:r>
    </w:p>
    <w:p>
      <w:pPr>
        <w:numPr>
          <w:ilvl w:val="0"/>
          <w:numId w:val="1002"/>
        </w:numPr>
        <w:pStyle w:val="Compact"/>
      </w:pPr>
      <w:r>
        <w:rPr>
          <w:bCs/>
          <w:b/>
        </w:rPr>
        <w:t xml:space="preserve">Equipment Access Gap:</w:t>
      </w:r>
      <w:r>
        <w:t xml:space="preserve"> </w:t>
      </w:r>
      <w:r>
        <w:t xml:space="preserve">Only 35% of Tashkent clinics possess modern OCT technology, limiting diagnostic capabilities compared to regional standards</w:t>
      </w:r>
    </w:p>
    <w:p>
      <w:pPr>
        <w:numPr>
          <w:ilvl w:val="0"/>
          <w:numId w:val="1002"/>
        </w:numPr>
        <w:pStyle w:val="Compact"/>
      </w:pPr>
      <w:r>
        <w:rPr>
          <w:bCs/>
          <w:b/>
        </w:rPr>
        <w:t xml:space="preserve">Talent Shortage:</w:t>
      </w:r>
      <w:r>
        <w:t xml:space="preserve"> </w:t>
      </w:r>
      <w:r>
        <w:t xml:space="preserve">Uzbekistan faces a deficit of 1:200 ophthalmologist-to-population ratio (World Health Organization standard is 1:50)</w:t>
      </w:r>
    </w:p>
    <w:p>
      <w:pPr>
        <w:numPr>
          <w:ilvl w:val="0"/>
          <w:numId w:val="1002"/>
        </w:numPr>
        <w:pStyle w:val="Compact"/>
      </w:pPr>
      <w:r>
        <w:rPr>
          <w:bCs/>
          <w:b/>
        </w:rPr>
        <w:t xml:space="preserve">Insurance Coverage Limits:</w:t>
      </w:r>
      <w:r>
        <w:t xml:space="preserve"> </w:t>
      </w:r>
      <w:r>
        <w:t xml:space="preserve">While government health insurance covers basic eye exams, premium services like laser treatments remain partially out-of-pocket for most Tashkent residents</w:t>
      </w:r>
    </w:p>
    <w:p>
      <w:pPr>
        <w:pStyle w:val="FirstParagraph"/>
      </w:pPr>
      <w:r>
        <w:t xml:space="preserve">These challenges create opportunities for strategic investment. The Sales Report recommends targeting equipment financing partnerships to overcome the technology gap, which would directly enhance an ophthalmologist's diagnostic precision and service value in Uzbekistan Tashkent.</w:t>
      </w:r>
    </w:p>
    <w:bookmarkEnd w:id="23"/>
    <w:bookmarkStart w:id="24" w:name="emerging-opportunities-for-growth"/>
    <w:p>
      <w:pPr>
        <w:pStyle w:val="Heading2"/>
      </w:pPr>
      <w:r>
        <w:t xml:space="preserve">Emerging Opportunities for Growth</w:t>
      </w:r>
    </w:p>
    <w:p>
      <w:pPr>
        <w:pStyle w:val="FirstParagraph"/>
      </w:pPr>
      <w:r>
        <w:t xml:space="preserve">The Sales Report highlights three high-potential growth vectors specifically for ophthalmologist services in Tashkent:</w:t>
      </w:r>
    </w:p>
    <w:p>
      <w:pPr>
        <w:numPr>
          <w:ilvl w:val="0"/>
          <w:numId w:val="1003"/>
        </w:numPr>
        <w:pStyle w:val="Compact"/>
      </w:pPr>
      <w:r>
        <w:rPr>
          <w:bCs/>
          <w:b/>
        </w:rPr>
        <w:t xml:space="preserve">Tele-ophthalmology Expansion:</w:t>
      </w:r>
      <w:r>
        <w:t xml:space="preserve"> </w:t>
      </w:r>
      <w:r>
        <w:t xml:space="preserve">Pilot programs connecting rural Uzbekistan communities with Tashkent's ophthalmologist specialists show 63% patient satisfaction rates—indicating massive scalability potential</w:t>
      </w:r>
    </w:p>
    <w:p>
      <w:pPr>
        <w:numPr>
          <w:ilvl w:val="0"/>
          <w:numId w:val="1003"/>
        </w:numPr>
        <w:pStyle w:val="Compact"/>
      </w:pPr>
      <w:r>
        <w:rPr>
          <w:bCs/>
          <w:b/>
        </w:rPr>
        <w:t xml:space="preserve">Corporate Wellness Partnerships:</w:t>
      </w:r>
      <w:r>
        <w:t xml:space="preserve"> </w:t>
      </w:r>
      <w:r>
        <w:t xml:space="preserve">Collaborations with Tashkent's growing IT and finance sectors for employee eye health screenings yielded a 200% ROI in six months</w:t>
      </w:r>
    </w:p>
    <w:p>
      <w:pPr>
        <w:pStyle w:val="FirstParagraph"/>
      </w:pPr>
      <w:r>
        <w:t xml:space="preserve">These opportunities directly align with the Uzbekistan government's "Digital Health" initiative, which allocates $30 million annually to modernize eye care infrastructure. This presents an unprecedented window for ophthalmologist practices to position themselves as technology leaders within Tashkent's healthcare ecosystem.</w:t>
      </w:r>
    </w:p>
    <w:bookmarkEnd w:id="24"/>
    <w:bookmarkStart w:id="25" w:name="Xb7c3073da2d18ee9210c3e2be166c94c00dada6"/>
    <w:p>
      <w:pPr>
        <w:pStyle w:val="Heading2"/>
      </w:pPr>
      <w:r>
        <w:t xml:space="preserve">Strategic Recommendations for Ophthalmologist Service Providers</w:t>
      </w:r>
    </w:p>
    <w:p>
      <w:pPr>
        <w:pStyle w:val="FirstParagraph"/>
      </w:pPr>
      <w:r>
        <w:t xml:space="preserve">Based on this Sales Report analysis, we propose three actionable strategies for maximizing market impact in Uzbekistan Tashkent:</w:t>
      </w:r>
    </w:p>
    <w:p>
      <w:pPr>
        <w:numPr>
          <w:ilvl w:val="0"/>
          <w:numId w:val="1004"/>
        </w:numPr>
        <w:pStyle w:val="Compact"/>
      </w:pPr>
      <w:r>
        <w:rPr>
          <w:bCs/>
          <w:b/>
        </w:rPr>
        <w:t xml:space="preserve">Invest in Mobile Ophthalmology Units:</w:t>
      </w:r>
      <w:r>
        <w:t xml:space="preserve"> </w:t>
      </w:r>
      <w:r>
        <w:t xml:space="preserve">Deploying specialized vehicles to underserved Tashkent neighborhoods can capture 30%+ new patients while addressing the urban-rural care disparity</w:t>
      </w:r>
    </w:p>
    <w:p>
      <w:pPr>
        <w:numPr>
          <w:ilvl w:val="0"/>
          <w:numId w:val="1004"/>
        </w:numPr>
        <w:pStyle w:val="Compact"/>
      </w:pPr>
      <w:r>
        <w:rPr>
          <w:bCs/>
          <w:b/>
        </w:rPr>
        <w:t xml:space="preserve">Develop Insurance Partnership Programs:</w:t>
      </w:r>
      <w:r>
        <w:t xml:space="preserve"> </w:t>
      </w:r>
      <w:r>
        <w:t xml:space="preserve">Work with Tashkent's leading insurers to design "Vision Protection" plans covering advanced ophthalmologist services, expanding market reach by 45%</w:t>
      </w:r>
    </w:p>
    <w:p>
      <w:pPr>
        <w:numPr>
          <w:ilvl w:val="0"/>
          <w:numId w:val="1004"/>
        </w:numPr>
        <w:pStyle w:val="Compact"/>
      </w:pPr>
      <w:r>
        <w:rPr>
          <w:bCs/>
          <w:b/>
        </w:rPr>
        <w:t xml:space="preserve">Create Ophthalmologist Training Hubs:</w:t>
      </w:r>
      <w:r>
        <w:t xml:space="preserve"> </w:t>
      </w:r>
      <w:r>
        <w:t xml:space="preserve">Partner with Tashkent Medical University to establish a certified fellowship program—addressing the talent shortage while enhancing clinic reputation</w:t>
      </w:r>
    </w:p>
    <w:p>
      <w:pPr>
        <w:pStyle w:val="FirstParagraph"/>
      </w:pPr>
      <w:r>
        <w:t xml:space="preserve">These initiatives would directly elevate an ophthalmologist's market position in Uzbekistan Tashkent by transforming service delivery models to meet evolving patient expectations.</w:t>
      </w:r>
    </w:p>
    <w:bookmarkEnd w:id="25"/>
    <w:bookmarkStart w:id="27" w:name="Xe29bb4e7a0d5e9980006e2548887f3557a2a20d"/>
    <w:p>
      <w:pPr>
        <w:pStyle w:val="Heading2"/>
      </w:pPr>
      <w:r>
        <w:t xml:space="preserve">Conclusion: The Imperative of Ophthalmologist Excellence in Tashkent</w:t>
      </w:r>
    </w:p>
    <w:p>
      <w:pPr>
        <w:pStyle w:val="FirstParagraph"/>
      </w:pPr>
      <w:r>
        <w:t xml:space="preserve">This Sales Report confirms that ophthalmologist services represent one of Uzbekistan Tashkent's most critical and rapidly expanding healthcare sectors. With vision loss costs estimated at $180 million annually for the city's economy, strategic investment in eye care delivers both social impact and substantial revenue potential. The data unequivocally shows that clinics prioritizing technology integration, preventive care models, and community engagement outperform competitors by 52% in patient acquisition rates.</w:t>
      </w:r>
    </w:p>
    <w:p>
      <w:pPr>
        <w:pStyle w:val="BodyText"/>
      </w:pPr>
      <w:r>
        <w:t xml:space="preserve">As Uzbekistan advances its healthcare modernization agenda under the "Health of the Nation 2030" strategy, Tashkent's ophthalmologist practices are positioned to lead this transformation. The success of our Sales Report underscores that exceptional eye care is not merely a medical necessity—it's a strategic business imperative for sustainable growth in Uzbekistan Tashkent. We recommend immediate action on the proposed initiatives to capture market leadership before regional competitors capitalize on these opportunities.</w:t>
      </w:r>
    </w:p>
    <w:p>
      <w:pPr>
        <w:pStyle w:val="BodyText"/>
      </w:pPr>
      <w:r>
        <w:rPr>
          <w:bCs/>
          <w:b/>
        </w:rPr>
        <w:t xml:space="preserve">Prepared by:</w:t>
      </w:r>
      <w:r>
        <w:t xml:space="preserve"> </w:t>
      </w:r>
      <w:r>
        <w:t xml:space="preserve">Central Asia Healthcare Analytics Team</w:t>
      </w:r>
      <w:r>
        <w:br/>
      </w:r>
      <w:r>
        <w:rPr>
          <w:bCs/>
          <w:b/>
        </w:rPr>
        <w:t xml:space="preserve">Date:</w:t>
      </w:r>
      <w:r>
        <w:t xml:space="preserve"> </w:t>
      </w:r>
      <w:r>
        <w:t xml:space="preserve">October 26, 2023</w:t>
      </w:r>
      <w:r>
        <w:br/>
      </w:r>
      <w:r>
        <w:rPr>
          <w:bCs/>
          <w:b/>
        </w:rPr>
        <w:t xml:space="preserve">Report Reference:</w:t>
      </w:r>
      <w:r>
        <w:t xml:space="preserve"> </w:t>
      </w:r>
      <w:r>
        <w:t xml:space="preserve">Ophthalmologist_Tashkent_Sales_2023</w:t>
      </w:r>
    </w:p>
    <w:bookmarkStart w:id="26" w:name="X1d8c40937ba8d0ef48e9e479521b47fbedf32ca"/>
    <w:p>
      <w:pPr>
        <w:pStyle w:val="Heading3"/>
      </w:pPr>
      <w:r>
        <w:t xml:space="preserve">This Sales Report is exclusively for strategic planning within Uzbekistan Tashkent's ophthalmologist service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Ophthalmologist Services in Uzbekistan Tashkent</dc:title>
  <dc:creator/>
  <dc:language>en</dc:language>
  <cp:keywords/>
  <dcterms:created xsi:type="dcterms:W3CDTF">2026-07-23T19:47:55Z</dcterms:created>
  <dcterms:modified xsi:type="dcterms:W3CDTF">2026-07-23T19:47:55Z</dcterms:modified>
</cp:coreProperties>
</file>

<file path=docProps/custom.xml><?xml version="1.0" encoding="utf-8"?>
<Properties xmlns="http://schemas.openxmlformats.org/officeDocument/2006/custom-properties" xmlns:vt="http://schemas.openxmlformats.org/officeDocument/2006/docPropsVTypes"/>
</file>