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Venezuela</w:t>
      </w:r>
      <w:r>
        <w:t xml:space="preserve"> </w:t>
      </w:r>
      <w:r>
        <w:t xml:space="preserve">Caracas</w:t>
      </w:r>
    </w:p>
    <w:bookmarkStart w:id="27" w:name="X276cb7e0f9ea4054ac53264e87b2d3da4bb39b0"/>
    <w:p>
      <w:pPr>
        <w:pStyle w:val="Heading1"/>
      </w:pPr>
      <w:r>
        <w:t xml:space="preserve">Comprehensive Sales Report: Ophthalmology Services in Venezuela Caracas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VisionCare Medical Group</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and financial performance of ophthalmology services within Venezuela Caracas for the third quarter of 2023. Despite significant economic challenges in Venezuela, our clinic maintained steady growth through strategic service adaptation and community-focused initiatives. The report confirms that our Ophthalmologist-led practice has become a regional leader in accessible eye care, serving over 12,500 patients during the reporting period. This document serves as both a performance assessment and roadmap for sustainable growth within Venezuela Caracas's critical healthcare landscape.</w:t>
      </w:r>
    </w:p>
    <w:bookmarkEnd w:id="20"/>
    <w:bookmarkStart w:id="21" w:name="X3a69c3b1cc7e9dc17c8e9ddaf8efc1f7ff2924a"/>
    <w:p>
      <w:pPr>
        <w:pStyle w:val="Heading2"/>
      </w:pPr>
      <w:r>
        <w:t xml:space="preserve">II. Market Context: Venezuela Caracas Ophthalmology Sector</w:t>
      </w:r>
    </w:p>
    <w:p>
      <w:pPr>
        <w:pStyle w:val="FirstParagraph"/>
      </w:pPr>
      <w:r>
        <w:t xml:space="preserve">Venezuela Caracas faces acute ophthalmic care shortages, with only 1.5 ophthalmologists per 100,000 residents – far below the WHO-recommended 5 per 100,000. The economic crisis has driven over 78% of private eye clinics to reduce services or close entirely since 2021. This vacuum created a unique opportunity for our Venezuela Caracas facility, which has strategically positioned itself as a provider of affordable yet high-quality ophthalmology services. Our Sales Report analysis shows that demand for cataract surgery and diabetic retinopathy screening has increased by 34% in Caracas compared to Q2 2023, directly correlating with Venezuela's rising diabetes prevalence (now at 14.7% of adults).</w:t>
      </w:r>
    </w:p>
    <w:bookmarkEnd w:id="21"/>
    <w:bookmarkStart w:id="22" w:name="iii.-sales-performance-highlights"/>
    <w:p>
      <w:pPr>
        <w:pStyle w:val="Heading2"/>
      </w:pPr>
      <w:r>
        <w:t xml:space="preserve">III. Sales Performance Highlights</w:t>
      </w:r>
    </w:p>
    <w:p>
      <w:pPr>
        <w:pStyle w:val="FirstParagraph"/>
      </w:pPr>
      <w:r>
        <w:rPr>
          <w:bCs/>
          <w:b/>
        </w:rPr>
        <w:t xml:space="preserve">Total Revenue:</w:t>
      </w:r>
      <w:r>
        <w:t xml:space="preserve"> </w:t>
      </w:r>
      <w:r>
        <w:t xml:space="preserve">$87,500 USD (a 19% quarterly increase from Q2)</w:t>
      </w:r>
      <w:r>
        <w:br/>
      </w:r>
      <w:r>
        <w:rPr>
          <w:bCs/>
          <w:b/>
        </w:rPr>
        <w:t xml:space="preserve">Patient Volume:</w:t>
      </w:r>
      <w:r>
        <w:t xml:space="preserve"> </w:t>
      </w:r>
      <w:r>
        <w:t xml:space="preserve">12,650 visits (up 23% YoY)</w:t>
      </w:r>
      <w:r>
        <w:br/>
      </w:r>
      <w:r>
        <w:rPr>
          <w:bCs/>
          <w:b/>
        </w:rPr>
        <w:t xml:space="preserve">Top-Performing Services:</w:t>
      </w:r>
    </w:p>
    <w:p>
      <w:pPr>
        <w:numPr>
          <w:ilvl w:val="0"/>
          <w:numId w:val="1001"/>
        </w:numPr>
        <w:pStyle w:val="Compact"/>
      </w:pPr>
      <w:r>
        <w:rPr>
          <w:iCs/>
          <w:i/>
        </w:rPr>
        <w:t xml:space="preserve">Cataract Surgery Package</w:t>
      </w:r>
      <w:r>
        <w:t xml:space="preserve">: Contributed $48,200 (55.1% of revenue) – driven by Venezuela's aging population and reduced surgery wait times (average 48 hours vs. national average of 6+ months).</w:t>
      </w:r>
    </w:p>
    <w:p>
      <w:pPr>
        <w:numPr>
          <w:ilvl w:val="0"/>
          <w:numId w:val="1001"/>
        </w:numPr>
        <w:pStyle w:val="Compact"/>
      </w:pPr>
      <w:r>
        <w:rPr>
          <w:iCs/>
          <w:i/>
        </w:rPr>
        <w:t xml:space="preserve">Diabetic Retinopathy Screening</w:t>
      </w:r>
      <w:r>
        <w:t xml:space="preserve">: Generated $22,100 (25.3% of revenue) – expanded through partnerships with Caracas public health centers.</w:t>
      </w:r>
    </w:p>
    <w:p>
      <w:pPr>
        <w:numPr>
          <w:ilvl w:val="0"/>
          <w:numId w:val="1001"/>
        </w:numPr>
        <w:pStyle w:val="Compact"/>
      </w:pPr>
      <w:r>
        <w:rPr>
          <w:iCs/>
          <w:i/>
        </w:rPr>
        <w:t xml:space="preserve">Advanced Glaucoma Management</w:t>
      </w:r>
      <w:r>
        <w:t xml:space="preserve">: $13,650 (15.6% of revenue) – supported by donated diagnostic equipment from international NGOs.</w:t>
      </w:r>
    </w:p>
    <w:p>
      <w:pPr>
        <w:pStyle w:val="FirstParagraph"/>
      </w:pPr>
      <w:r>
        <w:t xml:space="preserve">This Sales Report confirms that our Ophthalmologist team's specialization in high-demand services directly correlates with revenue growth. Notably, 82% of patients came from Caracas neighborhoods with limited healthcare access (e.g., Petare, San Juan de los Morros), demonstrating successful community penetration.</w:t>
      </w:r>
    </w:p>
    <w:bookmarkEnd w:id="22"/>
    <w:bookmarkStart w:id="23" w:name="Xaa2920c1200aa3cbf2260c77731b1a20b3a2f45"/>
    <w:p>
      <w:pPr>
        <w:pStyle w:val="Heading2"/>
      </w:pPr>
      <w:r>
        <w:t xml:space="preserve">IV. Strategic Adaptation in Venezuela Caracas</w:t>
      </w:r>
    </w:p>
    <w:p>
      <w:pPr>
        <w:pStyle w:val="FirstParagraph"/>
      </w:pPr>
      <w:r>
        <w:t xml:space="preserve">Our Sales Report identifies three key strategies that drove performance amid Venezuela's economic volatility:</w:t>
      </w:r>
    </w:p>
    <w:p>
      <w:pPr>
        <w:numPr>
          <w:ilvl w:val="0"/>
          <w:numId w:val="1002"/>
        </w:numPr>
        <w:pStyle w:val="Compact"/>
      </w:pPr>
      <w:r>
        <w:rPr>
          <w:bCs/>
          <w:b/>
        </w:rPr>
        <w:t xml:space="preserve">PHybrid Service Model:</w:t>
      </w:r>
      <w:r>
        <w:t xml:space="preserve"> </w:t>
      </w:r>
      <w:r>
        <w:t xml:space="preserve">Launched "TeleOphthalmology Clinics" for initial consultations (reducing patient travel costs by 65%) while maintaining in-person surgeries. This adaptation increased new patient acquisition by 37% in Q3.</w:t>
      </w:r>
    </w:p>
    <w:p>
      <w:pPr>
        <w:numPr>
          <w:ilvl w:val="0"/>
          <w:numId w:val="1002"/>
        </w:numPr>
        <w:pStyle w:val="Compact"/>
      </w:pPr>
      <w:r>
        <w:rPr>
          <w:bCs/>
          <w:b/>
        </w:rPr>
        <w:t xml:space="preserve">Localized Pricing Tiering:</w:t>
      </w:r>
      <w:r>
        <w:t xml:space="preserve"> </w:t>
      </w:r>
      <w:r>
        <w:t xml:space="preserve">Implemented Venezuela-specific payment structures: Cash payments (45% of revenue), NGO-funded vouchers (32%), and micro-loan partnerships with Caracas credit unions (23%). This prevented service discontinuation for 68% of low-income patients.</w:t>
      </w:r>
    </w:p>
    <w:p>
      <w:pPr>
        <w:numPr>
          <w:ilvl w:val="0"/>
          <w:numId w:val="1002"/>
        </w:numPr>
        <w:pStyle w:val="Compact"/>
      </w:pPr>
      <w:r>
        <w:rPr>
          <w:bCs/>
          <w:b/>
        </w:rPr>
        <w:t xml:space="preserve">Preventive Care Focus:</w:t>
      </w:r>
      <w:r>
        <w:t xml:space="preserve"> </w:t>
      </w:r>
      <w:r>
        <w:t xml:space="preserve">Shifted 40% of resources to community screenings at Caracas public schools and senior centers – increasing patient acquisition while addressing national blindness prevention priorities.</w:t>
      </w:r>
    </w:p>
    <w:bookmarkEnd w:id="23"/>
    <w:bookmarkStart w:id="24" w:name="Xdaff849035cb89bd0aec485eb6f460f78f0ea35"/>
    <w:p>
      <w:pPr>
        <w:pStyle w:val="Heading2"/>
      </w:pPr>
      <w:r>
        <w:t xml:space="preserve">V. Challenges Facing the Ophthalmologist Practice</w:t>
      </w:r>
    </w:p>
    <w:p>
      <w:pPr>
        <w:pStyle w:val="FirstParagraph"/>
      </w:pPr>
      <w:r>
        <w:t xml:space="preserve">This Sales Report candidly addresses persistent Venezuela Caracas challenges:</w:t>
      </w:r>
    </w:p>
    <w:p>
      <w:pPr>
        <w:numPr>
          <w:ilvl w:val="0"/>
          <w:numId w:val="1003"/>
        </w:numPr>
        <w:pStyle w:val="Compact"/>
      </w:pPr>
      <w:r>
        <w:rPr>
          <w:iCs/>
          <w:i/>
        </w:rPr>
        <w:t xml:space="preserve">Medical Supply Shortages:</w:t>
      </w:r>
      <w:r>
        <w:t xml:space="preserve"> </w:t>
      </w:r>
      <w:r>
        <w:t xml:space="preserve">31% of ophthalmic surgical kits were unavailable for 4-6 weeks during Q3 due to import restrictions. Mitigation: Partnered with regional suppliers in Colombia for critical consumables.</w:t>
      </w:r>
    </w:p>
    <w:p>
      <w:pPr>
        <w:numPr>
          <w:ilvl w:val="0"/>
          <w:numId w:val="1003"/>
        </w:numPr>
        <w:pStyle w:val="Compact"/>
      </w:pPr>
      <w:r>
        <w:rPr>
          <w:iCs/>
          <w:i/>
        </w:rPr>
        <w:t xml:space="preserve">Currency Fluctuations:</w:t>
      </w:r>
      <w:r>
        <w:t xml:space="preserve"> </w:t>
      </w:r>
      <w:r>
        <w:t xml:space="preserve">USD exchange rate volatility reduced equipment purchasing power by 22% vs. previous quarter. Solution: Locked in 18-month supplier contracts at fixed rates.</w:t>
      </w:r>
    </w:p>
    <w:p>
      <w:pPr>
        <w:numPr>
          <w:ilvl w:val="0"/>
          <w:numId w:val="1003"/>
        </w:numPr>
        <w:pStyle w:val="Compact"/>
      </w:pPr>
      <w:r>
        <w:rPr>
          <w:iCs/>
          <w:i/>
        </w:rPr>
        <w:t xml:space="preserve">Staff Retention:</w:t>
      </w:r>
      <w:r>
        <w:t xml:space="preserve"> </w:t>
      </w:r>
      <w:r>
        <w:t xml:space="preserve">15% of clinical staff left for higher-paying opportunities abroad. Countermeasure: Introduced "Community Impact Bonuses" tied to patient outcomes (not revenue) to retain talent.</w:t>
      </w:r>
    </w:p>
    <w:bookmarkEnd w:id="24"/>
    <w:bookmarkStart w:id="25" w:name="X6e031b4e09b35aa2dc2c3dd6e5a1bdbad6434fe"/>
    <w:p>
      <w:pPr>
        <w:pStyle w:val="Heading2"/>
      </w:pPr>
      <w:r>
        <w:t xml:space="preserve">VI. Future Outlook &amp; Strategic Recommendations</w:t>
      </w:r>
    </w:p>
    <w:p>
      <w:pPr>
        <w:pStyle w:val="FirstParagraph"/>
      </w:pPr>
      <w:r>
        <w:t xml:space="preserve">Based on Venezuela Caracas market dynamics, this Sales Report recommends:</w:t>
      </w:r>
    </w:p>
    <w:p>
      <w:pPr>
        <w:numPr>
          <w:ilvl w:val="0"/>
          <w:numId w:val="1004"/>
        </w:numPr>
        <w:pStyle w:val="Compact"/>
      </w:pPr>
      <w:r>
        <w:rPr>
          <w:bCs/>
          <w:b/>
        </w:rPr>
        <w:t xml:space="preserve">Expand Mobile Ophthalmology Units:</w:t>
      </w:r>
      <w:r>
        <w:t xml:space="preserve"> </w:t>
      </w:r>
      <w:r>
        <w:t xml:space="preserve">Deploy 3 mobile clinics to underserved Caracas areas (e.g., La Pastora, El Valle) by Q1 2024. Projected ROI: 175% within 18 months from increased patient volume.</w:t>
      </w:r>
    </w:p>
    <w:p>
      <w:pPr>
        <w:numPr>
          <w:ilvl w:val="0"/>
          <w:numId w:val="1004"/>
        </w:numPr>
        <w:pStyle w:val="Compact"/>
      </w:pPr>
      <w:r>
        <w:rPr>
          <w:bCs/>
          <w:b/>
        </w:rPr>
        <w:t xml:space="preserve">Forge Public-Private Partnerships:</w:t>
      </w:r>
      <w:r>
        <w:t xml:space="preserve"> </w:t>
      </w:r>
      <w:r>
        <w:t xml:space="preserve">Formalize agreements with Venezuela's Ministry of Health for subsidized diabetic retinopathy screening programs – directly addressing national healthcare priorities while securing stable revenue streams.</w:t>
      </w:r>
    </w:p>
    <w:p>
      <w:pPr>
        <w:numPr>
          <w:ilvl w:val="0"/>
          <w:numId w:val="1004"/>
        </w:numPr>
        <w:pStyle w:val="Compact"/>
      </w:pPr>
      <w:r>
        <w:rPr>
          <w:bCs/>
          <w:b/>
        </w:rPr>
        <w:t xml:space="preserve">Technology Investment:</w:t>
      </w:r>
      <w:r>
        <w:t xml:space="preserve"> </w:t>
      </w:r>
      <w:r>
        <w:t xml:space="preserve">Allocate $15,000 toward AI-powered retinal scanners (validated by Venezuelan medical board) to increase diagnostic efficiency by 45% and reduce costs per patient.</w:t>
      </w:r>
    </w:p>
    <w:p>
      <w:pPr>
        <w:pStyle w:val="FirstParagraph"/>
      </w:pPr>
      <w:r>
        <w:t xml:space="preserve">The Ophthalmologist practice in Venezuela Caracas is uniquely positioned to lead eye care transformation. With only 23 certified ophthalmologists serving all of Caracas's 3 million residents, our strategic focus on accessible, high-volume services aligns perfectly with national healthcare needs. The Sales Report confirms that patient trust – built through consistent service delivery amid Venezuela's crisis – has become our most valuable asset.</w:t>
      </w:r>
    </w:p>
    <w:bookmarkEnd w:id="25"/>
    <w:bookmarkStart w:id="26" w:name="vii.-conclusion"/>
    <w:p>
      <w:pPr>
        <w:pStyle w:val="Heading2"/>
      </w:pPr>
      <w:r>
        <w:t xml:space="preserve">VII. Conclusion</w:t>
      </w:r>
    </w:p>
    <w:p>
      <w:pPr>
        <w:pStyle w:val="FirstParagraph"/>
      </w:pPr>
      <w:r>
        <w:t xml:space="preserve">This comprehensive Sales Report affirms that our Ophthalmologist practice in Venezuela Caracas has not only survived economic turbulence but emerged as a critical healthcare provider. By prioritizing community impact over pure revenue, we've built a sustainable model that serves Venezuela's most vulnerable while achieving 19% quarterly growth. The data clearly demonstrates that strategic adaptation – not cost-cutting – is the path forward for ophthalmology in Caracas.</w:t>
      </w:r>
    </w:p>
    <w:p>
      <w:pPr>
        <w:pStyle w:val="BodyText"/>
      </w:pPr>
      <w:r>
        <w:t xml:space="preserve">Looking ahead, our focus remains on scaling proven models to reduce preventable blindness across Venezuela. As one of only two accredited ophthalmology centers in Caracas offering advanced surgical services, we recognize our responsibility to lead. This Sales Report provides the foundation for securing investment that will enable us to serve an additional 15,000 patients annually by 2024 – directly addressing Venezuela's severe eye care deficit.</w:t>
      </w:r>
    </w:p>
    <w:p>
      <w:pPr>
        <w:pStyle w:val="BodyText"/>
      </w:pPr>
      <w:r>
        <w:rPr>
          <w:bCs/>
          <w:b/>
        </w:rPr>
        <w:t xml:space="preserve">Prepared By:</w:t>
      </w:r>
      <w:r>
        <w:t xml:space="preserve"> </w:t>
      </w:r>
      <w:r>
        <w:t xml:space="preserve">Maria Gonzalez, Director of Clinical Operations</w:t>
      </w:r>
      <w:r>
        <w:br/>
      </w:r>
      <w:r>
        <w:rPr>
          <w:bCs/>
          <w:b/>
        </w:rPr>
        <w:t xml:space="preserve">VisionCare Medical Group – Caracas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Venezuela Caracas</dc:title>
  <dc:creator/>
  <dc:language>en</dc:language>
  <cp:keywords/>
  <dcterms:created xsi:type="dcterms:W3CDTF">2025-12-10T22:35:29Z</dcterms:created>
  <dcterms:modified xsi:type="dcterms:W3CDTF">2025-12-10T22:35:29Z</dcterms:modified>
</cp:coreProperties>
</file>

<file path=docProps/custom.xml><?xml version="1.0" encoding="utf-8"?>
<Properties xmlns="http://schemas.openxmlformats.org/officeDocument/2006/custom-properties" xmlns:vt="http://schemas.openxmlformats.org/officeDocument/2006/docPropsVTypes"/>
</file>