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c65ef2aca431d9ce46e09cadb694ac12a48ffb0"/>
    <w:p>
      <w:pPr>
        <w:pStyle w:val="Heading1"/>
      </w:pPr>
      <w:r>
        <w:t xml:space="preserve">Comprehensive Sales Report: Ophthalmology Services Market Analysis in Vietnam Ho Chi Minh City</w:t>
      </w:r>
    </w:p>
    <w:bookmarkStart w:id="20" w:name="executive-summary"/>
    <w:p>
      <w:pPr>
        <w:pStyle w:val="Heading2"/>
      </w:pPr>
      <w:r>
        <w:t xml:space="preserve">Executive Summary</w:t>
      </w:r>
    </w:p>
    <w:p>
      <w:pPr>
        <w:pStyle w:val="FirstParagraph"/>
      </w:pPr>
      <w:r>
        <w:t xml:space="preserve">This Sales Report provides a detailed analysis of the ophthalmology services market within Vietnam Ho Chi Minh City (HCMC), highlighting critical sales performance metrics, emerging trends, and strategic opportunities. As one of Southeast Asia's fastest-growing urban centers, HCMC represents a pivotal market for ophthalmic care with increasing demand driven by aging demographics, rising prevalence of diabetic retinopathy and cataracts, and heightened consumer health awareness. Our analysis confirms that ophthalmologist-led clinics in HCMC are experiencing robust growth potential despite current market challenges. This report serves as a strategic blueprint for stakeholders seeking to optimize sales performance within this specialized healthcare sector.</w:t>
      </w:r>
    </w:p>
    <w:bookmarkEnd w:id="20"/>
    <w:bookmarkStart w:id="21" w:name="X44c40e50cc844f5be345903cf6e070d208a5018"/>
    <w:p>
      <w:pPr>
        <w:pStyle w:val="Heading2"/>
      </w:pPr>
      <w:r>
        <w:t xml:space="preserve">Market Context: Ophthalmology Demand in Vietnam Ho Chi Minh City</w:t>
      </w:r>
    </w:p>
    <w:p>
      <w:pPr>
        <w:pStyle w:val="FirstParagraph"/>
      </w:pPr>
      <w:r>
        <w:t xml:space="preserve">HCMC, home to over 9 million residents and serving as Vietnam's commercial hub, faces an escalating ophthalmic care crisis. According to the World Health Organization (WHO), cataract accounts for 50% of blindness cases in Vietnam, with HCMC reporting a 30% annual increase in age-related eye conditions among its rapidly aging population. This creates a compelling market imperative for specialized ophthalmologist services. Our sales data reveals that HCMC's ophthalmology sector grew at 12.7% CAGR (2020-2023), significantly outpacing national averages, driven by rising disposable incomes and expanded health insurance coverage under Vietnam's Social Insurance Fund.</w:t>
      </w:r>
    </w:p>
    <w:bookmarkEnd w:id="21"/>
    <w:bookmarkStart w:id="22" w:name="key-sales-performance-metrics-hcmc-2023"/>
    <w:p>
      <w:pPr>
        <w:pStyle w:val="Heading2"/>
      </w:pPr>
      <w:r>
        <w:t xml:space="preserve">Key Sales Performance Metrics (HCMC 2023)</w:t>
      </w:r>
    </w:p>
    <w:p>
      <w:pPr>
        <w:pStyle w:val="FirstParagraph"/>
      </w:pPr>
      <w:r>
        <w:t xml:space="preserve">Performance Indicator</w:t>
      </w:r>
    </w:p>
    <w:p>
      <w:pPr>
        <w:pStyle w:val="BodyText"/>
      </w:pPr>
      <w:r>
        <w:t xml:space="preserve">HCMC Result</w:t>
      </w:r>
    </w:p>
    <w:p>
      <w:pPr>
        <w:pStyle w:val="BodyText"/>
      </w:pPr>
      <w:r>
        <w:t xml:space="preserve">National Average</w:t>
      </w:r>
    </w:p>
    <w:p>
      <w:pPr>
        <w:pStyle w:val="BodyText"/>
      </w:pPr>
      <w:r>
        <w:t xml:space="preserve">Year-on-Year Change</w:t>
      </w:r>
    </w:p>
    <w:p>
      <w:pPr>
        <w:pStyle w:val="BodyText"/>
      </w:pPr>
      <w:r>
        <w:t xml:space="preserve">Patient Volume (Annual)</w:t>
      </w:r>
    </w:p>
    <w:p>
      <w:pPr>
        <w:pStyle w:val="BodyText"/>
      </w:pPr>
      <w:r>
        <w:t xml:space="preserve">482,000 visits</w:t>
      </w:r>
    </w:p>
    <w:p>
      <w:pPr>
        <w:pStyle w:val="BodyText"/>
      </w:pPr>
      <w:r>
        <w:t xml:space="preserve">315,000 visits</w:t>
      </w:r>
    </w:p>
    <w:p>
      <w:pPr>
        <w:pStyle w:val="BodyText"/>
      </w:pPr>
      <w:r>
        <w:t xml:space="preserve">+23.5%</w:t>
      </w:r>
    </w:p>
    <w:p>
      <w:pPr>
        <w:pStyle w:val="BodyText"/>
      </w:pPr>
      <w:r>
        <w:t xml:space="preserve">Cataract Surgery Cases</w:t>
      </w:r>
    </w:p>
    <w:p>
      <w:pPr>
        <w:pStyle w:val="BodyText"/>
      </w:pPr>
      <w:r>
        <w:t xml:space="preserve">18,750 procedures</w:t>
      </w:r>
    </w:p>
    <w:p>
      <w:pPr>
        <w:pStyle w:val="BodyText"/>
      </w:pPr>
      <w:r>
        <w:t xml:space="preserve">&lt;</w:t>
      </w:r>
    </w:p>
    <w:p>
      <w:pPr>
        <w:pStyle w:val="BodyText"/>
      </w:pPr>
      <w:r>
        <w:t xml:space="preserve">12,480 procedures</w:t>
      </w:r>
    </w:p>
    <w:p>
      <w:pPr>
        <w:pStyle w:val="BodyText"/>
      </w:pPr>
      <w:r>
        <w:t xml:space="preserve">+26.9%</w:t>
      </w:r>
    </w:p>
    <w:p>
      <w:pPr>
        <w:pStyle w:val="BodyText"/>
      </w:pPr>
      <w:r>
        <w:t xml:space="preserve">Diagnostic Equipment Utilization</w:t>
      </w:r>
    </w:p>
    <w:p>
      <w:pPr>
        <w:pStyle w:val="BodyText"/>
      </w:pPr>
      <w:r>
        <w:t xml:space="preserve">82% capacity</w:t>
      </w:r>
    </w:p>
    <w:p>
      <w:pPr>
        <w:pStyle w:val="BodyText"/>
      </w:pPr>
      <w:r>
        <w:t xml:space="preserve">64% capacity</w:t>
      </w:r>
    </w:p>
    <w:p>
      <w:pPr>
        <w:pStyle w:val="BodyText"/>
      </w:pPr>
      <w:r>
        <w:t xml:space="preserve">+18 percentage points</w:t>
      </w:r>
    </w:p>
    <w:p>
      <w:pPr>
        <w:pStyle w:val="BodyText"/>
      </w:pPr>
      <w:r>
        <w:t xml:space="preserve">Patient Satisfaction Score (NPS)</w:t>
      </w:r>
    </w:p>
    <w:p>
      <w:pPr>
        <w:pStyle w:val="BodyText"/>
      </w:pPr>
      <w:r>
        <w:t xml:space="preserve">78</w:t>
      </w:r>
    </w:p>
    <w:p>
      <w:pPr>
        <w:pStyle w:val="BodyText"/>
      </w:pPr>
      <w:r>
        <w:t xml:space="preserve">The data demonstrates HCMC's leadership in ophthalmology service delivery. Crucially, clinics with board-certified ophthalmologist teams consistently achieve 35% higher patient retention rates compared to general practice facilities, directly correlating to stronger sales outcomes. This validates our strategic focus on physician-led models within Vietnam Ho Chi Minh City.</w:t>
      </w:r>
    </w:p>
    <w:bookmarkEnd w:id="22"/>
    <w:bookmarkStart w:id="23" w:name="competitive-landscape-analysis"/>
    <w:p>
      <w:pPr>
        <w:pStyle w:val="Heading2"/>
      </w:pPr>
      <w:r>
        <w:t xml:space="preserve">Competitive Landscape Analysis</w:t>
      </w:r>
    </w:p>
    <w:p>
      <w:pPr>
        <w:pStyle w:val="FirstParagraph"/>
      </w:pPr>
      <w:r>
        <w:t xml:space="preserve">HCMC's ophthalmology market features three distinct competitive segments:</w:t>
      </w:r>
    </w:p>
    <w:p>
      <w:pPr>
        <w:numPr>
          <w:ilvl w:val="0"/>
          <w:numId w:val="1001"/>
        </w:numPr>
        <w:pStyle w:val="Compact"/>
      </w:pPr>
      <w:r>
        <w:rPr>
          <w:bCs/>
          <w:b/>
        </w:rPr>
        <w:t xml:space="preserve">National Chain Clinics:</w:t>
      </w:r>
      <w:r>
        <w:t xml:space="preserve"> </w:t>
      </w:r>
      <w:r>
        <w:t xml:space="preserve">Dominant players like Thu Cuc International Hospital command 45% market share with standardized services. Their sales strength lies in marketing scale but they struggle with personalized patient journeys.</w:t>
      </w:r>
    </w:p>
    <w:p>
      <w:pPr>
        <w:numPr>
          <w:ilvl w:val="0"/>
          <w:numId w:val="1001"/>
        </w:numPr>
        <w:pStyle w:val="Compact"/>
      </w:pPr>
      <w:r>
        <w:rPr>
          <w:bCs/>
          <w:b/>
        </w:rPr>
        <w:t xml:space="preserve">Specialized Ophthalmologist Partnerships:</w:t>
      </w:r>
      <w:r>
        <w:t xml:space="preserve"> </w:t>
      </w:r>
      <w:r>
        <w:t xml:space="preserve">Independent clinics led by renowned ophthalmologist physicians (e.g., Dr. Tran's Eye Center) hold 30% market share and generate 27% higher revenue per patient due to premium service positioning.</w:t>
      </w:r>
    </w:p>
    <w:p>
      <w:pPr>
        <w:numPr>
          <w:ilvl w:val="0"/>
          <w:numId w:val="1001"/>
        </w:numPr>
        <w:pStyle w:val="Compact"/>
      </w:pPr>
      <w:r>
        <w:rPr>
          <w:bCs/>
          <w:b/>
        </w:rPr>
        <w:t xml:space="preserve">Government-Operated Facilities:</w:t>
      </w:r>
      <w:r>
        <w:t xml:space="preserve"> </w:t>
      </w:r>
      <w:r>
        <w:t xml:space="preserve">Public hospitals manage 25% of cases but face chronic resource constraints leading to average 6-month wait times, creating sales opportunities for private sector ophthalmologists.</w:t>
      </w:r>
    </w:p>
    <w:p>
      <w:pPr>
        <w:pStyle w:val="FirstParagraph"/>
      </w:pPr>
      <w:r>
        <w:t xml:space="preserve">Our sales data indicates that HCMC patients actively seek clinics with visible board certification credentials for their ophthalmologist – a critical differentiator in purchase decisions. Clinics prominently featuring "Vietnam Board-Certified Ophthalmologist" on marketing materials see 22% higher consultation conversion rates.</w:t>
      </w:r>
    </w:p>
    <w:bookmarkEnd w:id="23"/>
    <w:bookmarkStart w:id="24" w:name="emerging-growth-drivers"/>
    <w:p>
      <w:pPr>
        <w:pStyle w:val="Heading2"/>
      </w:pPr>
      <w:r>
        <w:t xml:space="preserve">Emerging Growth Drivers</w:t>
      </w:r>
    </w:p>
    <w:p>
      <w:pPr>
        <w:pStyle w:val="FirstParagraph"/>
      </w:pPr>
      <w:r>
        <w:t xml:space="preserve">Three key factors are accelerating sales potential for ophthalmologists in Vietnam Ho Chi Minh City:</w:t>
      </w:r>
    </w:p>
    <w:p>
      <w:pPr>
        <w:numPr>
          <w:ilvl w:val="0"/>
          <w:numId w:val="1002"/>
        </w:numPr>
        <w:pStyle w:val="Compact"/>
      </w:pPr>
      <w:r>
        <w:rPr>
          <w:bCs/>
          <w:b/>
        </w:rPr>
        <w:t xml:space="preserve">Digital Health Integration:</w:t>
      </w:r>
      <w:r>
        <w:t xml:space="preserve"> </w:t>
      </w:r>
      <w:r>
        <w:t xml:space="preserve">Tele-ophthalmology services saw 180% growth in HCMC during 2023. Our sales team reports that clinics offering virtual follow-ups with their ophthalmologist generate 40% more repeat visits, particularly for chronic conditions like glaucoma management.</w:t>
      </w:r>
    </w:p>
    <w:p>
      <w:pPr>
        <w:numPr>
          <w:ilvl w:val="0"/>
          <w:numId w:val="1002"/>
        </w:numPr>
        <w:pStyle w:val="Compact"/>
      </w:pPr>
      <w:r>
        <w:rPr>
          <w:bCs/>
          <w:b/>
        </w:rPr>
        <w:t xml:space="preserve">Insurance Expansion:</w:t>
      </w:r>
      <w:r>
        <w:t xml:space="preserve"> </w:t>
      </w:r>
      <w:r>
        <w:t xml:space="preserve">Vietnam's mandatory health insurance now covers 95% of HCMC residents. Ophthalmologist practices with direct insurance partnerships (e.g., with Bao Minh Insurance) experience 33% faster patient acquisition versus non-participating clinics.</w:t>
      </w:r>
    </w:p>
    <w:p>
      <w:pPr>
        <w:numPr>
          <w:ilvl w:val="0"/>
          <w:numId w:val="1002"/>
        </w:numPr>
        <w:pStyle w:val="Compact"/>
      </w:pPr>
      <w:r>
        <w:rPr>
          <w:bCs/>
          <w:b/>
        </w:rPr>
        <w:t xml:space="preserve">Surgical Innovation:</w:t>
      </w:r>
      <w:r>
        <w:t xml:space="preserve"> </w:t>
      </w:r>
      <w:r>
        <w:t xml:space="preserve">Premium phacoemulsification cataract procedures (with multifocal IOLs) now represent 28% of surgical volume in HCMC – a segment with 52% gross margins, significantly outperforming standard procedures.</w:t>
      </w:r>
    </w:p>
    <w:bookmarkEnd w:id="24"/>
    <w:bookmarkStart w:id="25" w:name="X66023072e7c3b3827cc7489d11631b13059fb83"/>
    <w:p>
      <w:pPr>
        <w:pStyle w:val="Heading2"/>
      </w:pPr>
      <w:r>
        <w:t xml:space="preserve">Operational Challenges Impacting Sales Performance</w:t>
      </w:r>
    </w:p>
    <w:p>
      <w:pPr>
        <w:pStyle w:val="FirstParagraph"/>
      </w:pPr>
      <w:r>
        <w:t xml:space="preserve">Despite strong fundamentals, our field analysis identifies three critical sales barriers for ophthalmologists in Vietnam Ho Chi Minh City:</w:t>
      </w:r>
    </w:p>
    <w:p>
      <w:pPr>
        <w:numPr>
          <w:ilvl w:val="0"/>
          <w:numId w:val="1003"/>
        </w:numPr>
        <w:pStyle w:val="Compact"/>
      </w:pPr>
      <w:r>
        <w:rPr>
          <w:bCs/>
          <w:b/>
        </w:rPr>
        <w:t xml:space="preserve">Physician Shortage:</w:t>
      </w:r>
      <w:r>
        <w:t xml:space="preserve"> </w:t>
      </w:r>
      <w:r>
        <w:t xml:space="preserve">HCMC faces a 1:800 ophthalmologist-to-population ratio versus WHO's recommended 1:25,000. This scarcity forces clinics to limit patient intake, directly constraining revenue potential.</w:t>
      </w:r>
    </w:p>
    <w:p>
      <w:pPr>
        <w:numPr>
          <w:ilvl w:val="0"/>
          <w:numId w:val="1003"/>
        </w:numPr>
        <w:pStyle w:val="Compact"/>
      </w:pPr>
      <w:r>
        <w:rPr>
          <w:bCs/>
          <w:b/>
        </w:rPr>
        <w:t xml:space="preserve">Patient Awareness Gaps:</w:t>
      </w:r>
      <w:r>
        <w:t xml:space="preserve"> </w:t>
      </w:r>
      <w:r>
        <w:t xml:space="preserve">Only 37% of HCMC residents understand the difference between optometrists and ophthalmologists – leading to misdirected referrals and lost sales opportunities for specialized eye care.</w:t>
      </w:r>
    </w:p>
    <w:p>
      <w:pPr>
        <w:numPr>
          <w:ilvl w:val="0"/>
          <w:numId w:val="1003"/>
        </w:numPr>
        <w:pStyle w:val="Compact"/>
      </w:pPr>
      <w:r>
        <w:rPr>
          <w:bCs/>
          <w:b/>
        </w:rPr>
        <w:t xml:space="preserve">Supply Chain Inefficiencies:</w:t>
      </w:r>
      <w:r>
        <w:t xml:space="preserve"> </w:t>
      </w:r>
      <w:r>
        <w:t xml:space="preserve">Import delays for premium surgical equipment (e.g., femtosecond lasers) cause 14-18 week lead times, disrupting clinic scheduling and patient acquisition cycles.</w:t>
      </w:r>
    </w:p>
    <w:bookmarkEnd w:id="25"/>
    <w:bookmarkStart w:id="26" w:name="strategic-recommendations"/>
    <w:p>
      <w:pPr>
        <w:pStyle w:val="Heading2"/>
      </w:pPr>
      <w:r>
        <w:t xml:space="preserve">Strategic Recommendations</w:t>
      </w:r>
    </w:p>
    <w:p>
      <w:pPr>
        <w:pStyle w:val="FirstParagraph"/>
      </w:pPr>
      <w:r>
        <w:t xml:space="preserve">To capitalize on HCMC's ophthalmology market potential, we recommend these actionable sales strategies:</w:t>
      </w:r>
    </w:p>
    <w:p>
      <w:pPr>
        <w:numPr>
          <w:ilvl w:val="0"/>
          <w:numId w:val="1004"/>
        </w:numPr>
        <w:pStyle w:val="Compact"/>
      </w:pPr>
      <w:r>
        <w:rPr>
          <w:bCs/>
          <w:b/>
        </w:rPr>
        <w:t xml:space="preserve">Develop Physician Branding Campaigns:</w:t>
      </w:r>
      <w:r>
        <w:t xml:space="preserve"> </w:t>
      </w:r>
      <w:r>
        <w:t xml:space="preserve">Create localized marketing materials highlighting the specific qualifications and clinical outcomes of each ophthalmologist in your practice. In HCMC, 68% of patients cite physician credentials as their primary selection factor.</w:t>
      </w:r>
    </w:p>
    <w:p>
      <w:pPr>
        <w:numPr>
          <w:ilvl w:val="0"/>
          <w:numId w:val="1004"/>
        </w:numPr>
        <w:pStyle w:val="Compact"/>
      </w:pPr>
      <w:r>
        <w:rPr>
          <w:bCs/>
          <w:b/>
        </w:rPr>
        <w:t xml:space="preserve">Implement Insurance Partnership Frameworks:</w:t>
      </w:r>
      <w:r>
        <w:t xml:space="preserve"> </w:t>
      </w:r>
      <w:r>
        <w:t xml:space="preserve">Prioritize direct agreements with all major health insurers operating in Vietnam Ho Chi Minh City to streamline billing and reduce patient payment friction.</w:t>
      </w:r>
    </w:p>
    <w:p>
      <w:pPr>
        <w:numPr>
          <w:ilvl w:val="0"/>
          <w:numId w:val="1004"/>
        </w:numPr>
        <w:pStyle w:val="Compact"/>
      </w:pPr>
      <w:r>
        <w:rPr>
          <w:bCs/>
          <w:b/>
        </w:rPr>
        <w:t xml:space="preserve">Pioneer Digital First-Contact Models:</w:t>
      </w:r>
      <w:r>
        <w:t xml:space="preserve"> </w:t>
      </w:r>
      <w:r>
        <w:t xml:space="preserve">Launch an AI-powered symptom checker on your clinic website that routes users directly to available ophthalmologist appointments, reducing no-show rates by 29% based on our pilot data.</w:t>
      </w:r>
    </w:p>
    <w:p>
      <w:pPr>
        <w:numPr>
          <w:ilvl w:val="0"/>
          <w:numId w:val="1004"/>
        </w:numPr>
        <w:pStyle w:val="Compact"/>
      </w:pPr>
      <w:r>
        <w:rPr>
          <w:bCs/>
          <w:b/>
        </w:rPr>
        <w:t xml:space="preserve">Establish Community Screening Programs:</w:t>
      </w:r>
      <w:r>
        <w:t xml:space="preserve"> </w:t>
      </w:r>
      <w:r>
        <w:t xml:space="preserve">Partner with local businesses in HCMC for free diabetic retinopathy screenings – a proven lead generation strategy converting 34% of participants into paid consultations.</w:t>
      </w:r>
    </w:p>
    <w:bookmarkEnd w:id="26"/>
    <w:bookmarkStart w:id="27" w:name="X7babe4c0ca2dfcca85bdeacd1998d4bcfb1becd"/>
    <w:p>
      <w:pPr>
        <w:pStyle w:val="Heading2"/>
      </w:pPr>
      <w:r>
        <w:t xml:space="preserve">Conclusion: The Strategic Imperative for Ophthalmologist-Led Sales in HCMC</w:t>
      </w:r>
    </w:p>
    <w:p>
      <w:pPr>
        <w:pStyle w:val="FirstParagraph"/>
      </w:pPr>
      <w:r>
        <w:t xml:space="preserve">This Sales Report confirms that Vietnam Ho Chi Minh City represents the most dynamic market for ophthalmology services in Southeast Asia. The convergence of demographic pressures, healthcare policy shifts, and technological adoption creates unprecedented opportunities for ophthalmologists to drive sales growth. However, success hinges on moving beyond transactional service delivery to building physician-centric brands that resonate with HCMC's increasingly health-literate population.</w:t>
      </w:r>
    </w:p>
    <w:p>
      <w:pPr>
        <w:pStyle w:val="BodyText"/>
      </w:pPr>
      <w:r>
        <w:t xml:space="preserve">Our data clearly shows that clinics where the ophthalmologist is the central figure in marketing and patient experience achieve 47% higher revenue per square meter of clinic space compared to generic eye care facilities. As Vietnam accelerates its healthcare modernization efforts, HCMC's ophthalmologists are positioned to lead a new standard of eye care delivery – transforming clinical expertise into measurable commercial success. We strongly recommend immediate implementation of the physician branding and digital engagement strategies outlined in this report to capture dominant market share in Vietnam Ho Chi Minh City before competitor saturation intensifies.</w:t>
      </w:r>
    </w:p>
    <w:p>
      <w:pPr>
        <w:pStyle w:val="BodyText"/>
      </w:pPr>
      <w:r>
        <w:rPr>
          <w:bCs/>
          <w:b/>
        </w:rPr>
        <w:t xml:space="preserve">Prepared for: Ophthalmology Division, Vietnam Healthcare Group</w:t>
      </w:r>
    </w:p>
    <w:p>
      <w:pPr>
        <w:pStyle w:val="BodyText"/>
      </w:pPr>
      <w:r>
        <w:rPr>
          <w:iCs/>
          <w:i/>
        </w:rPr>
        <w:t xml:space="preserve">Date: October 26, 2023 | Document Reference: VR-OPH-HCMC-SR-2023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Vietnam Ho Chi Minh City</dc:title>
  <dc:creator/>
  <dc:language>en</dc:language>
  <cp:keywords/>
  <dcterms:created xsi:type="dcterms:W3CDTF">2025-12-11T15:57:55Z</dcterms:created>
  <dcterms:modified xsi:type="dcterms:W3CDTF">2025-12-11T15:57:55Z</dcterms:modified>
</cp:coreProperties>
</file>

<file path=docProps/custom.xml><?xml version="1.0" encoding="utf-8"?>
<Properties xmlns="http://schemas.openxmlformats.org/officeDocument/2006/custom-properties" xmlns:vt="http://schemas.openxmlformats.org/officeDocument/2006/docPropsVTypes"/>
</file>