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Melbourne,</w:t>
      </w:r>
      <w:r>
        <w:t xml:space="preserve"> </w:t>
      </w:r>
      <w:r>
        <w:t xml:space="preserve">Australia</w:t>
      </w:r>
    </w:p>
    <w:bookmarkStart w:id="29" w:name="X58a06520cc99a22572d1f865e5be5b088b4b1c8"/>
    <w:p>
      <w:pPr>
        <w:pStyle w:val="Heading1"/>
      </w:pPr>
      <w:r>
        <w:t xml:space="preserve">Optometrist Sales Performance Report: Melbourne, Australia - Q3 2023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commercial performance of our premier optometry practice in Melbourne, Victoria, Australia. Covering the period from July 1 to September 30, 2023, this document provides critical insights into patient acquisition, revenue streams, and market positioning within the competitive Australian healthcare landscape. As a leading</w:t>
      </w:r>
      <w:r>
        <w:t xml:space="preserve"> </w:t>
      </w:r>
      <w:r>
        <w:rPr>
          <w:bCs/>
          <w:b/>
        </w:rPr>
        <w:t xml:space="preserve">Optometrist</w:t>
      </w:r>
      <w:r>
        <w:t xml:space="preserve"> </w:t>
      </w:r>
      <w:r>
        <w:t xml:space="preserve">practice serving Melbourne's diverse communities, our strategic focus remains aligned with delivering exceptional eye care while driving sustainable business growth in one of Australia's most dynamic metropolitan markets.</w:t>
      </w:r>
    </w:p>
    <w:bookmarkStart w:id="20" w:name="X0ce43d4fcdf3771c61b6d19396ae8a8802bcb0f"/>
    <w:p>
      <w:pPr>
        <w:pStyle w:val="Heading2"/>
      </w:pPr>
      <w:r>
        <w:t xml:space="preserve">Executive Summary: Q3 2023 Performance Overview</w:t>
      </w:r>
    </w:p>
    <w:p>
      <w:pPr>
        <w:pStyle w:val="FirstParagraph"/>
      </w:pPr>
      <w:r>
        <w:t xml:space="preserve">Our Melbourne-based optometry practice achieved a remarkable 18.7% year-on-year revenue increase during Q3 2023, reaching $415,800 in total sales. This growth significantly outperforms the Australian market average of 9.2% for optical practices (Australian Optometric Association, Q3 Report). The primary drivers were strategic service expansion in premium eyewear solutions and successful implementation of our Melbourne-specific customer retention program. Notably, we maintained a 42% repeat patient rate – exceeding Australia's national benchmark of 35% – demonstrating strong local market trust.</w:t>
      </w:r>
    </w:p>
    <w:bookmarkEnd w:id="20"/>
    <w:bookmarkStart w:id="21" w:name="revenue-streams-analysis"/>
    <w:p>
      <w:pPr>
        <w:pStyle w:val="Heading2"/>
      </w:pPr>
      <w:r>
        <w:t xml:space="preserve">Revenue Streams Analysis</w:t>
      </w:r>
    </w:p>
    <w:p>
      <w:pPr>
        <w:pStyle w:val="FirstParagraph"/>
      </w:pPr>
      <w:r>
        <w:t xml:space="preserve">Breakdown of key sales channels reveals Melbourne's unique consumer preferences:</w:t>
      </w:r>
    </w:p>
    <w:p>
      <w:pPr>
        <w:pStyle w:val="BodyText"/>
      </w:pPr>
      <w:r>
        <w:t xml:space="preserve">Service/Product Category</w:t>
      </w:r>
    </w:p>
    <w:p>
      <w:pPr>
        <w:pStyle w:val="BodyText"/>
      </w:pPr>
      <w:r>
        <w:t xml:space="preserve">Q3 2023 Sales ($)</w:t>
      </w:r>
    </w:p>
    <w:p>
      <w:pPr>
        <w:pStyle w:val="BodyText"/>
      </w:pPr>
      <w:r>
        <w:t xml:space="preserve">% of Total Revenue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Digital Eye Exams &amp; Comprehensive Testing</w:t>
      </w:r>
    </w:p>
    <w:p>
      <w:pPr>
        <w:pStyle w:val="BodyText"/>
      </w:pPr>
      <w:r>
        <w:t xml:space="preserve">142,500</w:t>
      </w:r>
    </w:p>
    <w:p>
      <w:pPr>
        <w:pStyle w:val="BodyText"/>
      </w:pPr>
      <w:r>
        <w:t xml:space="preserve">34.3%</w:t>
      </w:r>
    </w:p>
    <w:p>
      <w:pPr>
        <w:pStyle w:val="BodyText"/>
      </w:pPr>
      <w:r>
        <w:t xml:space="preserve">+15.6%</w:t>
      </w:r>
    </w:p>
    <w:p>
      <w:pPr>
        <w:pStyle w:val="BodyText"/>
      </w:pPr>
      <w:r>
        <w:t xml:space="preserve">Premium Eyewear (Brands: Oakley, Luxottica)</w:t>
      </w:r>
    </w:p>
    <w:p>
      <w:pPr>
        <w:pStyle w:val="BodyText"/>
      </w:pPr>
      <w:r>
        <w:t xml:space="preserve">178,900</w:t>
      </w:r>
    </w:p>
    <w:p>
      <w:pPr>
        <w:pStyle w:val="BodyText"/>
      </w:pPr>
      <w:r>
        <w:t xml:space="preserve">*Note: Melbourne-specific pricing strategy included 5% premium for local craftsmanship partnerships</w:t>
      </w:r>
    </w:p>
    <w:bookmarkEnd w:id="21"/>
    <w:bookmarkStart w:id="23" w:name="X5117090f8812dc1a56dd464b01f2714b19699e9"/>
    <w:p>
      <w:pPr>
        <w:pStyle w:val="Heading2"/>
      </w:pPr>
      <w:r>
        <w:t xml:space="preserve">Market Positioning in Australia Melbourne Context</w:t>
      </w:r>
    </w:p>
    <w:p>
      <w:pPr>
        <w:pStyle w:val="FirstParagraph"/>
      </w:pPr>
      <w:r>
        <w:t xml:space="preserve">Our strategic differentiation in the Australia Melbourne market centers on hyper-localized services. Unlike national chains, we've developed specialized programs addressing Melbourne's unique environmental challenges – including high UV exposure and urban air quality issues affecting eye health. This approach directly resonated with local demographics, driving a 31% increase in sales of our "Melbourne Vision Care" package (includes UV-protective lenses + anti-pollution coatings).</w:t>
      </w:r>
    </w:p>
    <w:p>
      <w:pPr>
        <w:pStyle w:val="BodyText"/>
      </w:pPr>
      <w:r>
        <w:t xml:space="preserve">As an</w:t>
      </w:r>
      <w:r>
        <w:t xml:space="preserve"> </w:t>
      </w:r>
      <w:r>
        <w:rPr>
          <w:bCs/>
          <w:b/>
        </w:rPr>
        <w:t xml:space="preserve">Optometrist</w:t>
      </w:r>
      <w:r>
        <w:t xml:space="preserve"> </w:t>
      </w:r>
      <w:r>
        <w:t xml:space="preserve">practice embedded within Melbourne's community, we've cultivated partnerships with local employers (including Melbourne Cricket Ground and ANZ Bank) for workplace eye health initiatives. These B2B partnerships contributed $47,200 in revenue – a 68% increase from 2022 – demonstrating how Australia Melbourne's corporate landscape creates unique sales opportunities unavailable in rural markets.</w:t>
      </w:r>
    </w:p>
    <w:bookmarkStart w:id="22" w:name="customer-acquisition-strategy"/>
    <w:p>
      <w:pPr>
        <w:pStyle w:val="Heading3"/>
      </w:pPr>
      <w:r>
        <w:t xml:space="preserve">Customer Acquisition Strategy</w:t>
      </w:r>
    </w:p>
    <w:p>
      <w:pPr>
        <w:pStyle w:val="FirstParagraph"/>
      </w:pPr>
      <w:r>
        <w:t xml:space="preserve">Our digital marketing campaign targeting Melbourne suburbs (particularly South Yarra and Docklands) achieved exceptional results. By leveraging location-based social media ads highlighting our "24-Hour Emergency Eye Care" service (critical during Melbourne's bushfire season), we acquired 217 new patients at a $89 customer acquisition cost – well below the Australian average of $135. This data confirms that targeted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analysis directly informs effective market penetration in Australia Melbourne.</w:t>
      </w:r>
    </w:p>
    <w:bookmarkEnd w:id="22"/>
    <w:bookmarkEnd w:id="23"/>
    <w:bookmarkStart w:id="24" w:name="challenges-strategic-response"/>
    <w:p>
      <w:pPr>
        <w:pStyle w:val="Heading2"/>
      </w:pPr>
      <w:r>
        <w:t xml:space="preserve">Challenges &amp; Strategic Response</w:t>
      </w:r>
    </w:p>
    <w:p>
      <w:pPr>
        <w:pStyle w:val="FirstParagraph"/>
      </w:pPr>
      <w:r>
        <w:t xml:space="preserve">The primary challenge identified in our sales performance is rising supply chain costs for premium eyewear brands. To counter this, we implemented a 'Local Craftsmanship Initiative' sourcing frames from Melbourne-based artisans (e.g., 50% of frames sold now feature local designer collaborations). This strategy not only reduced import dependency but also created a unique selling proposition resonating strongly with Melbourne consumers, increasing average transaction value by $28.</w:t>
      </w:r>
    </w:p>
    <w:bookmarkEnd w:id="24"/>
    <w:bookmarkStart w:id="25" w:name="X3583d64c821649fd83ceb5804b23092f449acf4"/>
    <w:p>
      <w:pPr>
        <w:pStyle w:val="Heading2"/>
      </w:pPr>
      <w:r>
        <w:t xml:space="preserve">Competitive Landscape Analysis: Australia Melbourne</w:t>
      </w:r>
    </w:p>
    <w:p>
      <w:pPr>
        <w:pStyle w:val="FirstParagraph"/>
      </w:pPr>
      <w:r>
        <w:t xml:space="preserve">Our analysis shows that while 63% of Melbourne optical practices compete primarily on price, we've positioned ourselves as a premium service provider – evidenced by our 15.2% higher average transaction value compared to local competitors. The Australian Competition &amp; Consumer Commission's recent report confirms Melbourne consumers increasingly value "specialized eye care expertise over price sensitivity," aligning perfectly with our practice model.</w:t>
      </w:r>
    </w:p>
    <w:bookmarkEnd w:id="25"/>
    <w:bookmarkStart w:id="26" w:name="customer-retention-loyalty-programs"/>
    <w:p>
      <w:pPr>
        <w:pStyle w:val="Heading2"/>
      </w:pPr>
      <w:r>
        <w:t xml:space="preserve">Customer Retention &amp; Loyalty Programs</w:t>
      </w:r>
    </w:p>
    <w:p>
      <w:pPr>
        <w:pStyle w:val="FirstParagraph"/>
      </w:pPr>
      <w:r>
        <w:t xml:space="preserve">Our 'Melbourne Eye Wellness Circle' loyalty program drove 42% of total Q3 revenue. Members (987 active) received personalized eye health check-in reminders based on Melbourne's seasonal allergen forecasts (e.g., increased pollen alerts in September). This hyper-localized engagement resulted in a 36% higher retention rate than the Australian industry average of 28%. Notably, members purchased an average of 2.4 eyewear items annually versus 1.7 for non-members – directly proving the value of Australia Melbourne-specific customer insights.</w:t>
      </w:r>
    </w:p>
    <w:bookmarkEnd w:id="26"/>
    <w:bookmarkStart w:id="27" w:name="future-sales-strategy-q4-beyond"/>
    <w:p>
      <w:pPr>
        <w:pStyle w:val="Heading2"/>
      </w:pPr>
      <w:r>
        <w:t xml:space="preserve">Future Sales Strategy: Q4 &amp; Beyond</w:t>
      </w:r>
    </w:p>
    <w:p>
      <w:pPr>
        <w:pStyle w:val="FirstParagraph"/>
      </w:pPr>
      <w:r>
        <w:t xml:space="preserve">Based on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our strategic priorities for the remainder of 2023 and 2024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Expanding Premium Services:</w:t>
      </w:r>
      <w:r>
        <w:t xml:space="preserve"> </w:t>
      </w:r>
      <w:r>
        <w:t xml:space="preserve">Launching Melbourne's first "Digital Eye Strain Clinic" targeting office workers (addressing a $1.8M local market need identified through our sales data)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Health Partnerships:</w:t>
      </w:r>
      <w:r>
        <w:t xml:space="preserve"> </w:t>
      </w:r>
      <w:r>
        <w:t xml:space="preserve">Formalizing agreements with Melbourne public health networks for subsidized eye care for low-income residents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Implementing AI-powered virtual try-on technology to increase online eyewear sales, targeting the 43% of Melbourne consumers who research frames online before visiting clinics</w:t>
      </w:r>
    </w:p>
    <w:bookmarkEnd w:id="27"/>
    <w:bookmarkStart w:id="28" w:name="X8898e81f53a34a2c954d58ed285c4f4efde1dc9"/>
    <w:p>
      <w:pPr>
        <w:pStyle w:val="Heading2"/>
      </w:pPr>
      <w:r>
        <w:t xml:space="preserve">Conclusion: Sustaining Growth in Australia Melbourne</w:t>
      </w:r>
    </w:p>
    <w:p>
      <w:pPr>
        <w:pStyle w:val="FirstParagraph"/>
      </w:pPr>
      <w:r>
        <w:t xml:space="preserve">This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our Melbourne-based optometry practice has achieved significant commercial success through deep market understanding. By centering our business model on the unique needs of Australia Melbourne residents – from environmental factors to community expectations – we've created a sustainable growth engine surpassing national benchmarks. The data confirms that an</w:t>
      </w:r>
      <w:r>
        <w:t xml:space="preserve"> </w:t>
      </w:r>
      <w:r>
        <w:rPr>
          <w:bCs/>
          <w:b/>
        </w:rPr>
        <w:t xml:space="preserve">Optometrist</w:t>
      </w:r>
      <w:r>
        <w:t xml:space="preserve"> </w:t>
      </w:r>
      <w:r>
        <w:t xml:space="preserve">practice thriving in Melbourne must move beyond generic healthcare delivery to embrace hyper-localized service design, as evidenced by our 18.7% revenue growth and 42% retention rate.</w:t>
      </w:r>
    </w:p>
    <w:p>
      <w:pPr>
        <w:pStyle w:val="BodyText"/>
      </w:pPr>
      <w:r>
        <w:t xml:space="preserve">As Australia's population continues shifting toward metropolitan centers like Melbourne, our strategy of merging clinical excellence with market-specific sales intelligence positions us for continued leadership. We recommend allocating 30% of annual marketing budget to Melbourne-exclusive initiatives in 2024, building on the proven success documented in this sales performance analysis.</w:t>
      </w:r>
    </w:p>
    <w:p>
      <w:pPr>
        <w:pStyle w:val="BodyText"/>
      </w:pPr>
      <w:r>
        <w:rPr>
          <w:iCs/>
          <w:i/>
        </w:rPr>
        <w:t xml:space="preserve">Prepared for: Optometrist Practice Leadership Team | Date: October 15, 2023 | Location: Melbourne, Australia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Sales Report - Melbourne, Australia</dc:title>
  <dc:creator/>
  <dc:language>en</dc:language>
  <cp:keywords/>
  <dcterms:created xsi:type="dcterms:W3CDTF">2026-07-21T07:40:58Z</dcterms:created>
  <dcterms:modified xsi:type="dcterms:W3CDTF">2026-07-21T07:40:58Z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