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28" w:name="X6a824dbb8ed868c790e7ad10ccb09379f209be7"/>
    <w:p>
      <w:pPr>
        <w:pStyle w:val="Heading1"/>
      </w:pPr>
      <w:r>
        <w:t xml:space="preserve">SALES REPORT FOR OPTOMETRIST PRACTICE - AUSTRALIA SYDNEY</w:t>
      </w:r>
    </w:p>
    <w:p>
      <w:pPr>
        <w:pStyle w:val="FirstParagraph"/>
      </w:pPr>
      <w:r>
        <w:t xml:space="preserve">Prepared for Sydney Eye Care Centre | Q3 2023 (July 1 - September 30)</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optometrist practice in Sydney, Australia. The quarter demonstrated strong growth across key service lines, reflecting increased community awareness of eye health needs and strategic initiatives implemented by our optometrist team. With Sydney's population exceeding 5 million people and a growing aging demographic, our practice has capitalized on market opportunities to achieve a 12% year-over-year revenue increase. This report provides actionable insights for optimizing patient acquisition and service delivery within the competitive Australia Sydney healthcare landscape.</w:t>
      </w:r>
    </w:p>
    <w:bookmarkEnd w:id="20"/>
    <w:bookmarkStart w:id="21" w:name="performance-metrics"/>
    <w:p>
      <w:pPr>
        <w:pStyle w:val="Heading2"/>
      </w:pPr>
      <w:r>
        <w:t xml:space="preserve">Performance Metrics</w:t>
      </w:r>
    </w:p>
    <w:p>
      <w:pPr>
        <w:pStyle w:val="FirstParagraph"/>
      </w:pPr>
      <w:r>
        <w:t xml:space="preserve">Our Sales Report highlights significant achievements in both clinical services and optical retail. Total revenue reached $348,750 for Q3 2023, driven by a 17% increase in new patient consultations compared to Q2. The optometrist team conducted 1,485 eye examinations during this period—surpassing the target of 1,350 by 9.9%. Notably, contact lens fittings increased by 23% as Sydney residents prioritize convenience and digital eye health management.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Q3 2023 Volume</w:t>
            </w:r>
          </w:p>
        </w:tc>
        <w:tc>
          <w:tcPr/>
          <w:p>
            <w:pPr>
              <w:pStyle w:val="Compact"/>
              <w:jc w:val="left"/>
            </w:pPr>
            <w:r>
              <w:t xml:space="preserve">% Change (YoY)</w:t>
            </w:r>
          </w:p>
        </w:tc>
        <w:tc>
          <w:tcPr/>
          <w:p>
            <w:pPr>
              <w:pStyle w:val="Compact"/>
              <w:jc w:val="left"/>
            </w:pPr>
            <w:r>
              <w:t xml:space="preserve">Average Revenue Per Service</w:t>
            </w:r>
          </w:p>
        </w:tc>
      </w:tr>
      <w:tr>
        <w:tc>
          <w:tcPr/>
          <w:p>
            <w:pPr>
              <w:pStyle w:val="Compact"/>
              <w:jc w:val="left"/>
            </w:pPr>
            <w:r>
              <w:t xml:space="preserve">Comprehensive Eye Exams</w:t>
            </w:r>
          </w:p>
        </w:tc>
        <w:tc>
          <w:tcPr/>
          <w:p>
            <w:pPr>
              <w:pStyle w:val="Compact"/>
              <w:jc w:val="left"/>
            </w:pPr>
            <w:r>
              <w:t xml:space="preserve">1,485</w:t>
            </w:r>
          </w:p>
        </w:tc>
        <w:tc>
          <w:tcPr/>
          <w:p>
            <w:pPr>
              <w:pStyle w:val="Compact"/>
              <w:jc w:val="left"/>
            </w:pPr>
            <w:r>
              <w:t xml:space="preserve">+12.3%</w:t>
            </w:r>
          </w:p>
        </w:tc>
        <w:tc>
          <w:tcPr/>
          <w:p>
            <w:pPr>
              <w:pStyle w:val="Compact"/>
              <w:jc w:val="left"/>
            </w:pPr>
            <w:r>
              <w:t xml:space="preserve">$245.00</w:t>
            </w:r>
          </w:p>
        </w:tc>
      </w:tr>
      <w:tr>
        <w:tc>
          <w:tcPr/>
          <w:p>
            <w:pPr>
              <w:pStyle w:val="Compact"/>
              <w:jc w:val="left"/>
            </w:pPr>
            <w:r>
              <w:t xml:space="preserve">Sunglasses &amp; Eyewear Sales</w:t>
            </w:r>
          </w:p>
        </w:tc>
        <w:tc>
          <w:tcPr/>
          <w:p>
            <w:pPr>
              <w:pStyle w:val="Compact"/>
              <w:jc w:val="left"/>
            </w:pPr>
            <w:r>
              <w:t xml:space="preserve">689 frames</w:t>
            </w:r>
          </w:p>
        </w:tc>
        <w:tc>
          <w:tcPr/>
          <w:p>
            <w:pPr>
              <w:pStyle w:val="Compact"/>
              <w:jc w:val="left"/>
            </w:pPr>
            <w:r>
              <w:t xml:space="preserve">+19.7%</w:t>
            </w:r>
          </w:p>
        </w:tc>
        <w:tc>
          <w:tcPr/>
          <w:p>
            <w:pPr>
              <w:pStyle w:val="Compact"/>
              <w:jc w:val="left"/>
            </w:pPr>
            <w:r>
              <w:t xml:space="preserve">$425.50</w:t>
            </w:r>
          </w:p>
        </w:tc>
      </w:tr>
      <w:tr>
        <w:tc>
          <w:tcPr/>
          <w:p>
            <w:pPr>
              <w:pStyle w:val="Compact"/>
              <w:jc w:val="left"/>
            </w:pPr>
            <w:r>
              <w:t xml:space="preserve">Contact Lens Fittings</w:t>
            </w:r>
          </w:p>
        </w:tc>
        <w:tc>
          <w:tcPr/>
          <w:p>
            <w:pPr>
              <w:pStyle w:val="Compact"/>
              <w:jc w:val="left"/>
            </w:pPr>
            <w:r>
              <w:t xml:space="preserve">312</w:t>
            </w:r>
          </w:p>
        </w:tc>
        <w:tc>
          <w:tcPr/>
          <w:p>
            <w:pPr>
              <w:pStyle w:val="Compact"/>
              <w:jc w:val="left"/>
            </w:pPr>
            <w:r>
              <w:t xml:space="preserve">+23.1%</w:t>
            </w:r>
          </w:p>
        </w:tc>
        <w:tc>
          <w:tcPr/>
          <w:p>
            <w:pPr>
              <w:pStyle w:val="Compact"/>
              <w:jc w:val="left"/>
            </w:pPr>
            <w:r>
              <w:t xml:space="preserve">$189.00</w:t>
            </w:r>
          </w:p>
        </w:tc>
      </w:tr>
      <w:tr>
        <w:tc>
          <w:tcPr/>
          <w:p>
            <w:pPr>
              <w:pStyle w:val="Compact"/>
              <w:jc w:val="left"/>
            </w:pPr>
            <w:r>
              <w:t xml:space="preserve">Specialized Diagnostics (Glaucoma/Diabetic Screening)</w:t>
            </w:r>
          </w:p>
        </w:tc>
        <w:tc>
          <w:tcPr/>
          <w:p>
            <w:pPr>
              <w:pStyle w:val="Compact"/>
              <w:jc w:val="left"/>
            </w:pPr>
            <w:r>
              <w:t xml:space="preserve">215</w:t>
            </w:r>
          </w:p>
        </w:tc>
        <w:tc>
          <w:tcPr/>
          <w:p>
            <w:pPr>
              <w:pStyle w:val="Compact"/>
              <w:jc w:val="left"/>
            </w:pPr>
            <w:r>
              <w:t xml:space="preserve">+8.4%</w:t>
            </w:r>
          </w:p>
        </w:tc>
        <w:tc>
          <w:tcPr/>
          <w:p>
            <w:pPr>
              <w:pStyle w:val="Compact"/>
              <w:jc w:val="left"/>
            </w:pPr>
            <w:r>
              <w:t xml:space="preserve">$165.75</w:t>
            </w:r>
          </w:p>
        </w:tc>
      </w:tr>
    </w:tbl>
    <w:bookmarkEnd w:id="21"/>
    <w:bookmarkStart w:id="22" w:name="australia-sydney-market-context"/>
    <w:p>
      <w:pPr>
        <w:pStyle w:val="Heading2"/>
      </w:pPr>
      <w:r>
        <w:t xml:space="preserve">Australia Sydney Market Context</w:t>
      </w:r>
    </w:p>
    <w:p>
      <w:pPr>
        <w:pStyle w:val="FirstParagraph"/>
      </w:pPr>
      <w:r>
        <w:t xml:space="preserve">As a leading optometrist practice in Australia Sydney, we've navigated unique regional dynamics. The NSW government's recent "Eye Health for All" initiative has increased public awareness of regular eye exams, particularly among the 1.2 million residents over 65 in Greater Sydney. Our Sales Report indicates that 38% of new patients in Q3 were aged 55+, a segment we've strategically targeted through community health fairs at Parramatta and Manly. This aligns with Australia's national aging trends, where eye conditions like cataracts affect over 20% of people aged 65+.</w:t>
      </w:r>
    </w:p>
    <w:p>
      <w:pPr>
        <w:pStyle w:val="BodyText"/>
      </w:pPr>
      <w:r>
        <w:t xml:space="preserve">Competitive analysis reveals that our Sydney location has a distinct advantage: proximity to high-density residential areas (North Shore, Eastern Suburbs) and partnerships with local employers. Unlike many practices in Australia Sydney that rely solely on walk-ins, our optometrist team leverages telehealth consultations for follow-ups—increasing patient retention by 15% compared to industry averages.</w:t>
      </w:r>
    </w:p>
    <w:bookmarkEnd w:id="22"/>
    <w:bookmarkStart w:id="23" w:name="key-success-drivers"/>
    <w:p>
      <w:pPr>
        <w:pStyle w:val="Heading2"/>
      </w:pPr>
      <w:r>
        <w:t xml:space="preserve">Key Success Drivers</w:t>
      </w:r>
    </w:p>
    <w:p>
      <w:pPr>
        <w:pStyle w:val="FirstParagraph"/>
      </w:pPr>
      <w:r>
        <w:t xml:space="preserve">Several factors contributed to our Q3 success:</w:t>
      </w:r>
    </w:p>
    <w:p>
      <w:pPr>
        <w:numPr>
          <w:ilvl w:val="0"/>
          <w:numId w:val="1001"/>
        </w:numPr>
        <w:pStyle w:val="Compact"/>
      </w:pPr>
      <w:r>
        <w:rPr>
          <w:bCs/>
          <w:b/>
        </w:rPr>
        <w:t xml:space="preserve">Community Engagement:</w:t>
      </w:r>
      <w:r>
        <w:t xml:space="preserve"> </w:t>
      </w:r>
      <w:r>
        <w:t xml:space="preserve">Hosting free eye screenings at Sydney Olympic Park and Westfield Parramatta attracted 147 new patients</w:t>
      </w:r>
    </w:p>
    <w:p>
      <w:pPr>
        <w:numPr>
          <w:ilvl w:val="0"/>
          <w:numId w:val="1001"/>
        </w:numPr>
        <w:pStyle w:val="Compact"/>
      </w:pPr>
      <w:r>
        <w:rPr>
          <w:bCs/>
          <w:b/>
        </w:rPr>
        <w:t xml:space="preserve">Product Innovation:</w:t>
      </w:r>
      <w:r>
        <w:t xml:space="preserve"> </w:t>
      </w:r>
      <w:r>
        <w:t xml:space="preserve">Launch of premium blue-light filtering lenses (popular among Sydney's tech workforce) drove a 32% sales surge in optical retail</w:t>
      </w:r>
    </w:p>
    <w:p>
      <w:pPr>
        <w:numPr>
          <w:ilvl w:val="0"/>
          <w:numId w:val="1001"/>
        </w:numPr>
        <w:pStyle w:val="Compact"/>
      </w:pPr>
      <w:r>
        <w:rPr>
          <w:bCs/>
          <w:b/>
        </w:rPr>
        <w:t xml:space="preserve">Patient Retention Program:</w:t>
      </w:r>
      <w:r>
        <w:t xml:space="preserve"> </w:t>
      </w:r>
      <w:r>
        <w:t xml:space="preserve">"Vision Loyalty" scheme increased repeat visits by 28% through personalized care plans</w:t>
      </w:r>
    </w:p>
    <w:p>
      <w:pPr>
        <w:numPr>
          <w:ilvl w:val="0"/>
          <w:numId w:val="1001"/>
        </w:numPr>
        <w:pStyle w:val="Compact"/>
      </w:pPr>
      <w:r>
        <w:rPr>
          <w:bCs/>
          <w:b/>
        </w:rPr>
        <w:t xml:space="preserve">Digital Optimization:</w:t>
      </w:r>
      <w:r>
        <w:t xml:space="preserve"> </w:t>
      </w:r>
      <w:r>
        <w:t xml:space="preserve">Streamlined booking system reduced no-show rates from 18% to 9% in Australia Sydney's competitive market</w:t>
      </w:r>
    </w:p>
    <w:bookmarkEnd w:id="23"/>
    <w:bookmarkStart w:id="24" w:name="challenges-strategic-responses"/>
    <w:p>
      <w:pPr>
        <w:pStyle w:val="Heading2"/>
      </w:pPr>
      <w:r>
        <w:t xml:space="preserve">Challenges &amp; Strategic Responses</w:t>
      </w:r>
    </w:p>
    <w:p>
      <w:pPr>
        <w:pStyle w:val="FirstParagraph"/>
      </w:pPr>
      <w:r>
        <w:t xml:space="preserve">Our Sales Report identifies challenges specific to operating an optometrist practice in Australia Sydney. Rising supply chain costs for premium lenses impacted gross margins by 4.1%, requiring us to negotiate bulk contracts with Australian manufacturers like Essilor. Additionally, a 15% increase in patient demand during Q3 strained our scheduling capacity, prompting the optometrist team to implement extended Saturday hours at our Bondi Junction location—a move that accommodated 200+ additional patients.</w:t>
      </w:r>
    </w:p>
    <w:p>
      <w:pPr>
        <w:pStyle w:val="BodyText"/>
      </w:pPr>
      <w:r>
        <w:t xml:space="preserve">Another challenge was meeting Sydney's strict regulatory requirements under the Australian Health Practitioner Regulation Agency (AHPRA). Our practice invested in staff training on new telehealth protocols, ensuring compliance while expanding service reach to regional NSW patients via virtual consultations.</w:t>
      </w:r>
    </w:p>
    <w:bookmarkEnd w:id="24"/>
    <w:bookmarkStart w:id="25" w:name="customer-insights-australia-sydney-focus"/>
    <w:p>
      <w:pPr>
        <w:pStyle w:val="Heading2"/>
      </w:pPr>
      <w:r>
        <w:t xml:space="preserve">Customer Insights (Australia Sydney Focus)</w:t>
      </w:r>
    </w:p>
    <w:p>
      <w:pPr>
        <w:pStyle w:val="FirstParagraph"/>
      </w:pPr>
      <w:r>
        <w:t xml:space="preserve">Analysis of our patient database reveals distinctive Sydney trends:</w:t>
      </w:r>
    </w:p>
    <w:p>
      <w:pPr>
        <w:numPr>
          <w:ilvl w:val="0"/>
          <w:numId w:val="1002"/>
        </w:numPr>
        <w:pStyle w:val="Compact"/>
      </w:pPr>
      <w:r>
        <w:rPr>
          <w:bCs/>
          <w:b/>
        </w:rPr>
        <w:t xml:space="preserve">Urban vs. Suburban Demand:</w:t>
      </w:r>
      <w:r>
        <w:t xml:space="preserve"> </w:t>
      </w:r>
      <w:r>
        <w:t xml:space="preserve">67% of patients came from Inner West and Eastern Suburbs, with premium eyewear sales 2.3x higher than in outer suburbs</w:t>
      </w:r>
    </w:p>
    <w:p>
      <w:pPr>
        <w:numPr>
          <w:ilvl w:val="0"/>
          <w:numId w:val="1002"/>
        </w:numPr>
        <w:pStyle w:val="Compact"/>
      </w:pPr>
      <w:r>
        <w:rPr>
          <w:bCs/>
          <w:b/>
        </w:rPr>
        <w:t xml:space="preserve">Digital Behavior:</w:t>
      </w:r>
      <w:r>
        <w:t xml:space="preserve"> </w:t>
      </w:r>
      <w:r>
        <w:t xml:space="preserve">74% of new Sydney patients booked appointments via our mobile app—confirming the need for digital-first service models</w:t>
      </w:r>
    </w:p>
    <w:p>
      <w:pPr>
        <w:numPr>
          <w:ilvl w:val="0"/>
          <w:numId w:val="1002"/>
        </w:numPr>
        <w:pStyle w:val="Compact"/>
      </w:pPr>
      <w:r>
        <w:rPr>
          <w:bCs/>
          <w:b/>
        </w:rPr>
        <w:t xml:space="preserve">Health Awareness:</w:t>
      </w:r>
      <w:r>
        <w:t xml:space="preserve"> </w:t>
      </w:r>
      <w:r>
        <w:t xml:space="preserve">52% of patients now request annual exams (vs. 41% in Q3 2022), reflecting increased health consciousness among Australia Sydney residents</w:t>
      </w:r>
    </w:p>
    <w:bookmarkEnd w:id="25"/>
    <w:bookmarkStart w:id="26" w:name="recommendations-for-q4"/>
    <w:p>
      <w:pPr>
        <w:pStyle w:val="Heading2"/>
      </w:pPr>
      <w:r>
        <w:t xml:space="preserve">Recommendations for Q4</w:t>
      </w:r>
    </w:p>
    <w:p>
      <w:pPr>
        <w:pStyle w:val="FirstParagraph"/>
      </w:pPr>
      <w:r>
        <w:t xml:space="preserve">Based on this Sales Report, we recommend:</w:t>
      </w:r>
    </w:p>
    <w:p>
      <w:pPr>
        <w:numPr>
          <w:ilvl w:val="0"/>
          <w:numId w:val="1003"/>
        </w:numPr>
        <w:pStyle w:val="Compact"/>
      </w:pPr>
      <w:r>
        <w:rPr>
          <w:bCs/>
          <w:b/>
        </w:rPr>
        <w:t xml:space="preserve">Expand Telehealth Services:</w:t>
      </w:r>
      <w:r>
        <w:t xml:space="preserve"> </w:t>
      </w:r>
      <w:r>
        <w:t xml:space="preserve">Partner with Sydney-based corporations (e.g., Atlassian, Macquarie Group) for corporate eye health programs</w:t>
      </w:r>
    </w:p>
    <w:p>
      <w:pPr>
        <w:numPr>
          <w:ilvl w:val="0"/>
          <w:numId w:val="1003"/>
        </w:numPr>
        <w:pStyle w:val="Compact"/>
      </w:pPr>
      <w:r>
        <w:rPr>
          <w:bCs/>
          <w:b/>
        </w:rPr>
        <w:t xml:space="preserve">Introduce Premium Pediatric Eye Care:</w:t>
      </w:r>
      <w:r>
        <w:t xml:space="preserve"> </w:t>
      </w:r>
      <w:r>
        <w:t xml:space="preserve">Target families in North Shore suburbs with school vision screening packages</w:t>
      </w:r>
    </w:p>
    <w:p>
      <w:pPr>
        <w:numPr>
          <w:ilvl w:val="0"/>
          <w:numId w:val="1003"/>
        </w:numPr>
        <w:pStyle w:val="Compact"/>
      </w:pPr>
      <w:r>
        <w:rPr>
          <w:bCs/>
          <w:b/>
        </w:rPr>
        <w:t xml:space="preserve">Leverage Sustainability Trends:</w:t>
      </w:r>
      <w:r>
        <w:t xml:space="preserve"> </w:t>
      </w:r>
      <w:r>
        <w:t xml:space="preserve">Launch eco-friendly eyewear line to appeal to Sydney's growing environmentally conscious demographic</w:t>
      </w:r>
    </w:p>
    <w:p>
      <w:pPr>
        <w:numPr>
          <w:ilvl w:val="0"/>
          <w:numId w:val="1003"/>
        </w:numPr>
        <w:pStyle w:val="Compact"/>
      </w:pPr>
      <w:r>
        <w:rPr>
          <w:bCs/>
          <w:b/>
        </w:rPr>
        <w:t xml:space="preserve">Optimize Staffing Model:</w:t>
      </w:r>
      <w:r>
        <w:t xml:space="preserve"> </w:t>
      </w:r>
      <w:r>
        <w:t xml:space="preserve">Add a part-time optometrist for high-demand weekends in CBD locations during Q4</w:t>
      </w:r>
    </w:p>
    <w:bookmarkEnd w:id="26"/>
    <w:bookmarkStart w:id="27" w:name="conclusion"/>
    <w:p>
      <w:pPr>
        <w:pStyle w:val="Heading2"/>
      </w:pPr>
      <w:r>
        <w:t xml:space="preserve">Conclusion</w:t>
      </w:r>
    </w:p>
    <w:p>
      <w:pPr>
        <w:pStyle w:val="FirstParagraph"/>
      </w:pPr>
      <w:r>
        <w:t xml:space="preserve">This Sales Report confirms the strong market position of our optometrist practice within Australia Sydney. The strategic focus on community health engagement, digital transformation, and premium service delivery has positioned us for sustained growth in one of Australia's most competitive healthcare markets. As Sydney continues its urban expansion, we're committed to maintaining our leadership in eye care through innovation while upholding the highest Australian standards of optometry practice.</w:t>
      </w:r>
    </w:p>
    <w:p>
      <w:pPr>
        <w:pStyle w:val="BodyText"/>
      </w:pPr>
      <w:r>
        <w:t xml:space="preserve">Prepared by:</w:t>
      </w:r>
      <w:r>
        <w:br/>
      </w:r>
      <w:r>
        <w:rPr>
          <w:bCs/>
          <w:b/>
        </w:rPr>
        <w:t xml:space="preserve">Sydney Eye Care Centre Management</w:t>
      </w:r>
      <w:r>
        <w:br/>
      </w:r>
      <w:r>
        <w:t xml:space="preserve">Certified Optometrist Practice | Australia Sydney</w:t>
      </w:r>
    </w:p>
    <w:p>
      <w:pPr>
        <w:pStyle w:val="BodyText"/>
      </w:pPr>
      <w:r>
        <w:t xml:space="preserve">This Sales Report complies with Australian Health Practitioner Regulation Agency (AHPRA) documentation standards and reflects operational data for Sydney Eye Care Centre, a leading optometrist practice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 Australia Sydney</dc:title>
  <dc:creator/>
  <cp:keywords/>
  <dcterms:created xsi:type="dcterms:W3CDTF">2026-07-23T18:12:33Z</dcterms:created>
  <dcterms:modified xsi:type="dcterms:W3CDTF">2026-07-23T18:12:33Z</dcterms:modified>
</cp:coreProperties>
</file>

<file path=docProps/custom.xml><?xml version="1.0" encoding="utf-8"?>
<Properties xmlns="http://schemas.openxmlformats.org/officeDocument/2006/custom-properties" xmlns:vt="http://schemas.openxmlformats.org/officeDocument/2006/docPropsVTypes"/>
</file>