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Practice</w:t>
      </w:r>
      <w:r>
        <w:t xml:space="preserve"> </w:t>
      </w:r>
      <w:r>
        <w:t xml:space="preserve">Performance</w:t>
      </w:r>
      <w:r>
        <w:t xml:space="preserve"> </w:t>
      </w:r>
      <w:r>
        <w:t xml:space="preserve">-</w:t>
      </w:r>
      <w:r>
        <w:t xml:space="preserve"> </w:t>
      </w:r>
      <w:r>
        <w:t xml:space="preserve">Dhaka,</w:t>
      </w:r>
      <w:r>
        <w:t xml:space="preserve"> </w:t>
      </w:r>
      <w:r>
        <w:t xml:space="preserve">Bangladesh</w:t>
      </w:r>
    </w:p>
    <w:bookmarkStart w:id="27" w:name="Xbb3c434d6248cb7b12de88e41317b65a89c353e"/>
    <w:p>
      <w:pPr>
        <w:pStyle w:val="Heading1"/>
      </w:pPr>
      <w:r>
        <w:t xml:space="preserve">Comprehensive Sales Report: Optometrist Practice Performance Analysis in Bangladesh Dhaka (Q3 2023)</w:t>
      </w:r>
    </w:p>
    <w:bookmarkStart w:id="20" w:name="executive-summary"/>
    <w:p>
      <w:pPr>
        <w:pStyle w:val="Heading2"/>
      </w:pPr>
      <w:r>
        <w:t xml:space="preserve">Executive Summary</w:t>
      </w:r>
    </w:p>
    <w:p>
      <w:pPr>
        <w:pStyle w:val="FirstParagraph"/>
      </w:pPr>
      <w:r>
        <w:t xml:space="preserve">This Sales Report presents a detailed performance analysis of our optometry practice operations across key locations in Bangladesh Dhaka during the third quarter of 2023. As a leading provider of comprehensive eye care services in Dhaka, we have achieved significant growth in patient consultations, eyewear sales, and diagnostic service utilization. This report underscores how strategic investments in community health education and modern optometric technology have positioned our practice as a trusted healthcare partner for Dhaka's expanding urban population. The data confirms that targeted market engagement by our dedicated Optometrist team has driven 27% year-over-year revenue growth despite regional economic challenges.</w:t>
      </w:r>
    </w:p>
    <w:bookmarkEnd w:id="20"/>
    <w:bookmarkStart w:id="21" w:name="Xcc6a7cf3429366bb93f6774f81d84d0f7ee6eb2"/>
    <w:p>
      <w:pPr>
        <w:pStyle w:val="Heading2"/>
      </w:pPr>
      <w:r>
        <w:t xml:space="preserve">Market Context: Optometry in Bangladesh Dhaka</w:t>
      </w:r>
    </w:p>
    <w:p>
      <w:pPr>
        <w:pStyle w:val="FirstParagraph"/>
      </w:pPr>
      <w:r>
        <w:t xml:space="preserve">With over 18 million residents in Dhaka City alone, the demand for professional optometric services has surged due to increased screen time, urban pollution, and rising awareness of preventive eye care. According to the Bangladesh Health Research Council (2023), only 35% of Dhaka's population accesses regular eye examinations – presenting a critical market opportunity for our Optometrist practice. Our strategic positioning in commercial hubs like Gulshan and Dhanmondi has allowed us to capture 18% of Dhaka's premium eyewear market share. This Sales Report confirms that our localized service model – combining affordable screenings with premium lens technology – resonates strongly with Bangladesh Dhaka's middle-class demographic seeking quality healthcare without excessive costs.</w:t>
      </w:r>
    </w:p>
    <w:bookmarkEnd w:id="21"/>
    <w:bookmarkStart w:id="22" w:name="q3-2023-sales-performance-highlights"/>
    <w:p>
      <w:pPr>
        <w:pStyle w:val="Heading2"/>
      </w:pPr>
      <w:r>
        <w:t xml:space="preserve">Q3 2023 Sales Performance Highlights</w:t>
      </w:r>
    </w:p>
    <w:p>
      <w:pPr>
        <w:pStyle w:val="FirstParagraph"/>
      </w:pPr>
      <w:r>
        <w:rPr>
          <w:bCs/>
          <w:b/>
        </w:rPr>
        <w:t xml:space="preserve">Revenue Streams Breakdown:</w:t>
      </w:r>
    </w:p>
    <w:p>
      <w:pPr>
        <w:numPr>
          <w:ilvl w:val="0"/>
          <w:numId w:val="1001"/>
        </w:numPr>
        <w:pStyle w:val="Compact"/>
      </w:pPr>
      <w:r>
        <w:rPr>
          <w:bCs/>
          <w:b/>
        </w:rPr>
        <w:t xml:space="preserve">Diagnostic Services (45% of revenue):</w:t>
      </w:r>
      <w:r>
        <w:t xml:space="preserve"> </w:t>
      </w:r>
      <w:r>
        <w:t xml:space="preserve">Comprehensive eye exams, retinal screenings, and glaucoma testing increased by 31% due to our "Eye Health Awareness Campaign" in Dhaka's educational institutions. Our Optometrist team conducted 12,450 screenings across schools and community centers.</w:t>
      </w:r>
    </w:p>
    <w:p>
      <w:pPr>
        <w:numPr>
          <w:ilvl w:val="0"/>
          <w:numId w:val="1001"/>
        </w:numPr>
        <w:pStyle w:val="Compact"/>
      </w:pPr>
      <w:r>
        <w:rPr>
          <w:bCs/>
          <w:b/>
        </w:rPr>
        <w:t xml:space="preserve">Eyewear Sales (40% of revenue):</w:t>
      </w:r>
      <w:r>
        <w:t xml:space="preserve"> </w:t>
      </w:r>
      <w:r>
        <w:t xml:space="preserve">Premium lens sales grew by 38% through bundled packages (exam + frames). Key drivers included demand for anti-blue light lenses among Dhaka's IT professionals and UV-protective sunglasses for monsoon season.</w:t>
      </w:r>
    </w:p>
    <w:p>
      <w:pPr>
        <w:numPr>
          <w:ilvl w:val="0"/>
          <w:numId w:val="1001"/>
        </w:numPr>
        <w:pStyle w:val="Compact"/>
      </w:pPr>
      <w:r>
        <w:rPr>
          <w:bCs/>
          <w:b/>
        </w:rPr>
        <w:t xml:space="preserve">Specialized Treatments (15% of revenue):</w:t>
      </w:r>
      <w:r>
        <w:t xml:space="preserve"> </w:t>
      </w:r>
      <w:r>
        <w:t xml:space="preserve">Contact lens fittings and pediatric vision therapy saw 22% growth, reflecting improved community trust in our Optometrist services.</w:t>
      </w:r>
    </w:p>
    <w:p>
      <w:pPr>
        <w:pStyle w:val="FirstParagraph"/>
      </w:pPr>
      <w:r>
        <w:t xml:space="preserve">The Dhaka market's unique dynamics – including monsoon-related eye infections and high prevalence of myopia among schoolchildren – directly influenced our product mix. Our Sales Report notes a 56% increase in disposable contact lens sales during Q3, specifically targeting students at Dhaka University and local schools through our community partnership program.</w:t>
      </w:r>
    </w:p>
    <w:bookmarkEnd w:id="22"/>
    <w:bookmarkStart w:id="23" w:name="key-success-factors-driving-sales-growth"/>
    <w:p>
      <w:pPr>
        <w:pStyle w:val="Heading2"/>
      </w:pPr>
      <w:r>
        <w:t xml:space="preserve">Key Success Factors Driving Sales Growth</w:t>
      </w:r>
    </w:p>
    <w:p>
      <w:pPr>
        <w:pStyle w:val="FirstParagraph"/>
      </w:pPr>
      <w:r>
        <w:t xml:space="preserve">Three strategic initiatives delivered exceptional results for our Optometrist practice in Bangladesh Dhaka:</w:t>
      </w:r>
    </w:p>
    <w:p>
      <w:pPr>
        <w:numPr>
          <w:ilvl w:val="0"/>
          <w:numId w:val="1002"/>
        </w:numPr>
        <w:pStyle w:val="Compact"/>
      </w:pPr>
      <w:r>
        <w:rPr>
          <w:bCs/>
          <w:b/>
        </w:rPr>
        <w:t xml:space="preserve">Technology Integration:</w:t>
      </w:r>
      <w:r>
        <w:t xml:space="preserve"> </w:t>
      </w:r>
      <w:r>
        <w:t xml:space="preserve">Implementation of AI-powered retinal scanners reduced diagnosis time by 40% while improving accuracy. This technology, introduced specifically to serve the high-density population centers of Dhaka, increased patient retention rates by 29%.</w:t>
      </w:r>
    </w:p>
    <w:p>
      <w:pPr>
        <w:numPr>
          <w:ilvl w:val="0"/>
          <w:numId w:val="1002"/>
        </w:numPr>
        <w:pStyle w:val="Compact"/>
      </w:pPr>
      <w:r>
        <w:rPr>
          <w:bCs/>
          <w:b/>
        </w:rPr>
        <w:t xml:space="preserve">Cultural Adaptation:</w:t>
      </w:r>
      <w:r>
        <w:t xml:space="preserve"> </w:t>
      </w:r>
      <w:r>
        <w:t xml:space="preserve">Our marketing strategy tailored messaging to Bangladesh Dhaka's cultural context – emphasizing family eye care packages and using local influencers for campaigns. This approach generated a 63% higher conversion rate among Bengali-speaking families compared to previous campaigns.</w:t>
      </w:r>
    </w:p>
    <w:p>
      <w:pPr>
        <w:numPr>
          <w:ilvl w:val="0"/>
          <w:numId w:val="1002"/>
        </w:numPr>
        <w:pStyle w:val="Compact"/>
      </w:pPr>
      <w:r>
        <w:rPr>
          <w:bCs/>
          <w:b/>
        </w:rPr>
        <w:t xml:space="preserve">Partnership Ecosystem:</w:t>
      </w:r>
      <w:r>
        <w:t xml:space="preserve"> </w:t>
      </w:r>
      <w:r>
        <w:t xml:space="preserve">Collaborating with Dhaka's Ministry of Health on free school vision screening programs established credibility. These initiatives, coordinated through our Optometrist network, brought 3,200 new patients into our practice – directly contributing to Q3 revenue growth.</w:t>
      </w:r>
    </w:p>
    <w:bookmarkEnd w:id="23"/>
    <w:bookmarkStart w:id="24" w:name="challenges-in-bangladesh-dhaka-market"/>
    <w:p>
      <w:pPr>
        <w:pStyle w:val="Heading2"/>
      </w:pPr>
      <w:r>
        <w:t xml:space="preserve">Challenges in Bangladesh Dhaka Market</w:t>
      </w:r>
    </w:p>
    <w:p>
      <w:pPr>
        <w:pStyle w:val="FirstParagraph"/>
      </w:pPr>
      <w:r>
        <w:t xml:space="preserve">Despite strong performance, this Sales Report identifies critical challenges specific to operating an Optometrist practice in Bangladesh Dhaka:</w:t>
      </w:r>
    </w:p>
    <w:p>
      <w:pPr>
        <w:numPr>
          <w:ilvl w:val="0"/>
          <w:numId w:val="1003"/>
        </w:numPr>
        <w:pStyle w:val="Compact"/>
      </w:pPr>
      <w:r>
        <w:rPr>
          <w:bCs/>
          <w:b/>
        </w:rPr>
        <w:t xml:space="preserve">Demand-Supply Gap:</w:t>
      </w:r>
      <w:r>
        <w:t xml:space="preserve"> </w:t>
      </w:r>
      <w:r>
        <w:t xml:space="preserve">Dhaka's optometric infrastructure lags behind population growth, creating intense competition for skilled personnel. Our retention rate for qualified Optometrist staff improved to 87% (up from 74% in Q1) through competitive compensation and professional development programs.</w:t>
      </w:r>
    </w:p>
    <w:p>
      <w:pPr>
        <w:numPr>
          <w:ilvl w:val="0"/>
          <w:numId w:val="1003"/>
        </w:numPr>
        <w:pStyle w:val="Compact"/>
      </w:pPr>
      <w:r>
        <w:rPr>
          <w:bCs/>
          <w:b/>
        </w:rPr>
        <w:t xml:space="preserve">Supply Chain Constraints:</w:t>
      </w:r>
      <w:r>
        <w:t xml:space="preserve"> </w:t>
      </w:r>
      <w:r>
        <w:t xml:space="preserve">Import tariffs on premium lens materials increased costs by 22%. We mitigated this through partnerships with local manufacturers of anti-UV coatings, a strategy now reflected in our cost-effective product range.</w:t>
      </w:r>
    </w:p>
    <w:p>
      <w:pPr>
        <w:numPr>
          <w:ilvl w:val="0"/>
          <w:numId w:val="1003"/>
        </w:numPr>
        <w:pStyle w:val="Compact"/>
      </w:pPr>
      <w:r>
        <w:rPr>
          <w:bCs/>
          <w:b/>
        </w:rPr>
        <w:t xml:space="preserve">Economic Sensitivity:</w:t>
      </w:r>
      <w:r>
        <w:t xml:space="preserve"> </w:t>
      </w:r>
      <w:r>
        <w:t xml:space="preserve">While demand remained strong, price-sensitive segments showed reduced spending on premium products. Our Sales Report recommends introducing a "Silver Care" tier offering essential services at 15% below market rate for Dhaka's lower-income neighborhoods.</w:t>
      </w:r>
    </w:p>
    <w:bookmarkEnd w:id="24"/>
    <w:bookmarkStart w:id="25" w:name="Xdb9f09ca88dd5063960239eabd5745ee9f84e75"/>
    <w:p>
      <w:pPr>
        <w:pStyle w:val="Heading2"/>
      </w:pPr>
      <w:r>
        <w:t xml:space="preserve">Future Strategy: Scaling Impact in Bangladesh Dhaka</w:t>
      </w:r>
    </w:p>
    <w:p>
      <w:pPr>
        <w:pStyle w:val="FirstParagraph"/>
      </w:pPr>
      <w:r>
        <w:t xml:space="preserve">Building on Q3 success, our strategic roadmap prioritizes three growth pillars for the Optometrist practice in Bangladesh Dhaka:</w:t>
      </w:r>
    </w:p>
    <w:p>
      <w:pPr>
        <w:numPr>
          <w:ilvl w:val="0"/>
          <w:numId w:val="1004"/>
        </w:numPr>
        <w:pStyle w:val="Compact"/>
      </w:pPr>
      <w:r>
        <w:rPr>
          <w:bCs/>
          <w:b/>
        </w:rPr>
        <w:t xml:space="preserve">Expansion of Preventive Services:</w:t>
      </w:r>
      <w:r>
        <w:t xml:space="preserve"> </w:t>
      </w:r>
      <w:r>
        <w:t xml:space="preserve">Launching "Dhaka Eye Health Hubs" in 5 additional community centers by Q1 2024 to serve underserved areas like Kawran Bazar and Mirpur. This initiative will directly address the 68% unmet need for regular eye care identified in Dhaka's rural-urban fringe.</w:t>
      </w:r>
    </w:p>
    <w:p>
      <w:pPr>
        <w:numPr>
          <w:ilvl w:val="0"/>
          <w:numId w:val="1004"/>
        </w:numPr>
        <w:pStyle w:val="Compact"/>
      </w:pPr>
      <w:r>
        <w:rPr>
          <w:bCs/>
          <w:b/>
        </w:rPr>
        <w:t xml:space="preserve">Technology Democratization:</w:t>
      </w:r>
      <w:r>
        <w:t xml:space="preserve"> </w:t>
      </w:r>
      <w:r>
        <w:t xml:space="preserve">Introducing affordable mobile optometry units for home visits targeting elderly patients in Dhaka's high-density neighborhoods – a service our Optometrist team will deliver using portable diagnostic tools developed specifically for Bangladesh's infrastructure constraints.</w:t>
      </w:r>
    </w:p>
    <w:p>
      <w:pPr>
        <w:numPr>
          <w:ilvl w:val="0"/>
          <w:numId w:val="1004"/>
        </w:numPr>
        <w:pStyle w:val="Compact"/>
      </w:pPr>
      <w:r>
        <w:rPr>
          <w:bCs/>
          <w:b/>
        </w:rPr>
        <w:t xml:space="preserve">Local Talent Development:</w:t>
      </w:r>
      <w:r>
        <w:t xml:space="preserve"> </w:t>
      </w:r>
      <w:r>
        <w:t xml:space="preserve">Partnering with Dhaka University of Engineering &amp; Technology to create a specialized optometry internship program, ensuring sustainable growth of skilled professionals within Bangladesh Dhaka's healthcare ecosystem.</w:t>
      </w:r>
    </w:p>
    <w:bookmarkEnd w:id="25"/>
    <w:bookmarkStart w:id="26" w:name="Xe2e206e6ff9d7b5bb8dfceef79f42443740ec82"/>
    <w:p>
      <w:pPr>
        <w:pStyle w:val="Heading2"/>
      </w:pPr>
      <w:r>
        <w:t xml:space="preserve">Conclusion: Sustainable Growth in Bangladesh Optometry</w:t>
      </w:r>
    </w:p>
    <w:p>
      <w:pPr>
        <w:pStyle w:val="FirstParagraph"/>
      </w:pPr>
      <w:r>
        <w:t xml:space="preserve">This comprehensive Sales Report confirms that our optometrist practice has become an essential healthcare partner for Bangladesh Dhaka. The 27% revenue growth demonstrates how aligning clinical excellence with community-centric service delivery creates measurable impact in emerging markets. As Dhaka's urban population continues to grow at 4.1% annually (World Bank, 2023), our strategy of combining cutting-edge optometric technology with culturally resonant patient engagement positions us for leadership in Bangladesh's vision care sector.</w:t>
      </w:r>
    </w:p>
    <w:p>
      <w:pPr>
        <w:pStyle w:val="BodyText"/>
      </w:pPr>
      <w:r>
        <w:t xml:space="preserve">Crucially, this Sales Report emphasizes that sustainable growth in Bangladesh Dhaka requires more than clinical expertise – it demands deep understanding of local socioeconomic patterns. By embedding our Optometrist services within Dhaka's community fabric through strategic partnerships and culturally intelligent service design, we've transformed eye care from a commodity into a trusted health partnership. The next phase of our expansion will focus on making premium vision care accessible to 100,000 additional Dhaka residents by 2025, proving that quality optometric services can thrive within Bangladesh's unique healthcare landscape.</w:t>
      </w:r>
    </w:p>
    <w:p>
      <w:pPr>
        <w:pStyle w:val="BodyText"/>
      </w:pPr>
      <w:r>
        <w:rPr>
          <w:bCs/>
          <w:b/>
        </w:rPr>
        <w:t xml:space="preserve">Prepared for:</w:t>
      </w:r>
      <w:r>
        <w:t xml:space="preserve"> </w:t>
      </w:r>
      <w:r>
        <w:t xml:space="preserve">Board of Directors, Bangladesh Healthcare Innovation Group</w:t>
      </w:r>
      <w:r>
        <w:br/>
      </w:r>
      <w:r>
        <w:rPr>
          <w:bCs/>
          <w:b/>
        </w:rPr>
        <w:t xml:space="preserve">Date:</w:t>
      </w:r>
      <w:r>
        <w:t xml:space="preserve"> </w:t>
      </w:r>
      <w:r>
        <w:t xml:space="preserve">October 26, 2023</w:t>
      </w:r>
      <w:r>
        <w:br/>
      </w:r>
      <w:r>
        <w:rPr>
          <w:bCs/>
          <w:b/>
        </w:rPr>
        <w:t xml:space="preserve">Prepared by:</w:t>
      </w:r>
      <w:r>
        <w:t xml:space="preserve"> </w:t>
      </w:r>
      <w:r>
        <w:t xml:space="preserve">Dhaka Optometry Sales Analytics Department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Practice Performance - Dhaka, Bangladesh</dc:title>
  <dc:creator/>
  <dc:language>en</dc:language>
  <cp:keywords/>
  <dcterms:created xsi:type="dcterms:W3CDTF">2026-07-21T11:06:32Z</dcterms:created>
  <dcterms:modified xsi:type="dcterms:W3CDTF">2026-07-21T11:06:32Z</dcterms:modified>
</cp:coreProperties>
</file>

<file path=docProps/custom.xml><?xml version="1.0" encoding="utf-8"?>
<Properties xmlns="http://schemas.openxmlformats.org/officeDocument/2006/custom-properties" xmlns:vt="http://schemas.openxmlformats.org/officeDocument/2006/docPropsVTypes"/>
</file>