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Paris</w:t>
      </w:r>
      <w:r>
        <w:t xml:space="preserve"> </w:t>
      </w:r>
      <w:r>
        <w:t xml:space="preserve">Market</w:t>
      </w:r>
    </w:p>
    <w:bookmarkStart w:id="28" w:name="Xbc04cd874ea280a3d461a05fbe794842bf7aa5c"/>
    <w:p>
      <w:pPr>
        <w:pStyle w:val="Heading1"/>
      </w:pPr>
      <w:r>
        <w:t xml:space="preserve">Comprehensive Sales Performance Report for Optometrist Practice in Paris,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Optometric Clinic Network</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premier optometry practice located in the heart of Paris, France. During Q3 2023, we achieved remarkable growth across all key metrics, reinforcing our position as a market leader in optical care services within France Paris. Total revenue reached €485,200 (a 17.6% increase from Q2), driven by strategic investments in premium eyewear and expanded patient retention programs. This report confirms the strong demand for specialized optometric services among Parisian residents and underscores the effectiveness of our localized business approach within France's competitive optical market.</w:t>
      </w:r>
    </w:p>
    <w:bookmarkEnd w:id="20"/>
    <w:bookmarkStart w:id="21" w:name="X07ed7044ebba3c78b4ded4904acbad9d1b4b4f0"/>
    <w:p>
      <w:pPr>
        <w:pStyle w:val="Heading2"/>
      </w:pPr>
      <w:r>
        <w:t xml:space="preserve">II. Market Context: Optometry Landscape in France Paris</w:t>
      </w:r>
    </w:p>
    <w:p>
      <w:pPr>
        <w:pStyle w:val="FirstParagraph"/>
      </w:pPr>
      <w:r>
        <w:t xml:space="preserve">The French optometry sector in Paris operates under unique regulatory frameworks governed by the Ministry of Health, requiring all practitioners to maintain strict adherence to national optical standards. With Paris housing over 450 licensed optometrists and a population exceeding 2.1 million residents aged 25-65, competition is intense but opportunities for differentiation exist. Our practice has strategically positioned itself as a premium provider of personalized eye care services, leveraging our Parisian location to serve both affluent urban dwellers and expatriate communities seeking high-end optical solutions.</w:t>
      </w:r>
    </w:p>
    <w:bookmarkEnd w:id="21"/>
    <w:bookmarkStart w:id="22" w:name="iii.-sales-performance-overview-q3-2023"/>
    <w:p>
      <w:pPr>
        <w:pStyle w:val="Heading2"/>
      </w:pPr>
      <w:r>
        <w:t xml:space="preserve">III. Sales Performance Overview (Q3 2023)</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Change (%)</w:t>
      </w:r>
    </w:p>
    <w:p>
      <w:pPr>
        <w:pStyle w:val="BodyText"/>
      </w:pPr>
      <w:r>
        <w:t xml:space="preserve">Total Revenue (€)</w:t>
      </w:r>
    </w:p>
    <w:p>
      <w:pPr>
        <w:pStyle w:val="BodyText"/>
      </w:pPr>
      <w:r>
        <w:t xml:space="preserve">485,200</w:t>
      </w:r>
    </w:p>
    <w:p>
      <w:pPr>
        <w:pStyle w:val="BodyText"/>
      </w:pPr>
      <w:r>
        <w:t xml:space="preserve">412,500</w:t>
      </w:r>
    </w:p>
    <w:p>
      <w:pPr>
        <w:pStyle w:val="BodyText"/>
      </w:pPr>
      <w:r>
        <w:t xml:space="preserve">+17.6%</w:t>
      </w:r>
    </w:p>
    <w:p>
      <w:pPr>
        <w:pStyle w:val="BodyText"/>
      </w:pPr>
      <w:r>
        <w:t xml:space="preserve">New Patient Acquisitions</w:t>
      </w:r>
    </w:p>
    <w:p>
      <w:pPr>
        <w:pStyle w:val="BodyText"/>
      </w:pPr>
      <w:r>
        <w:t xml:space="preserve">387</w:t>
      </w:r>
    </w:p>
    <w:p>
      <w:pPr>
        <w:pStyle w:val="BodyText"/>
      </w:pPr>
      <w:r>
        <w:t xml:space="preserve">&lt;</w:t>
      </w:r>
    </w:p>
    <w:p>
      <w:pPr>
        <w:pStyle w:val="BodyText"/>
      </w:pPr>
      <w:r>
        <w:t xml:space="preserve">319</w:t>
      </w:r>
    </w:p>
    <w:p>
      <w:pPr>
        <w:pStyle w:val="BodyText"/>
      </w:pPr>
      <w:r>
        <w:t xml:space="preserve">&lt;</w:t>
      </w:r>
    </w:p>
    <w:p>
      <w:pPr>
        <w:pStyle w:val="BodyText"/>
      </w:pPr>
      <w:r>
        <w:t xml:space="preserve">+21.3%</w:t>
      </w:r>
    </w:p>
    <w:p>
      <w:pPr>
        <w:pStyle w:val="BodyText"/>
      </w:pPr>
      <w:r>
        <w:t xml:space="preserve">Lens Sales Volume</w:t>
      </w:r>
    </w:p>
    <w:p>
      <w:pPr>
        <w:pStyle w:val="BodyText"/>
      </w:pPr>
      <w:r>
        <w:t xml:space="preserve">&lt; td&gt;2,450 units&lt; td &gt;2,080 units&lt; / td &gt;&lt; td &gt;+17.8%&lt; / td &gt;</w:t>
      </w:r>
    </w:p>
    <w:p>
      <w:pPr>
        <w:pStyle w:val="BodyText"/>
      </w:pPr>
      <w:r>
        <w:t xml:space="preserve">Glasses Frame Sales (Premium)</w:t>
      </w:r>
    </w:p>
    <w:p>
      <w:pPr>
        <w:pStyle w:val="BodyText"/>
      </w:pPr>
      <w:r>
        <w:t xml:space="preserve">1,892 pairs</w:t>
      </w:r>
    </w:p>
    <w:p>
      <w:pPr>
        <w:pStyle w:val="BodyText"/>
      </w:pPr>
      <w:r>
        <w:t xml:space="preserve">1,565 pairs</w:t>
      </w:r>
    </w:p>
    <w:p>
      <w:pPr>
        <w:pStyle w:val="BodyText"/>
      </w:pPr>
      <w:r>
        <w:t xml:space="preserve">+20.9%</w:t>
      </w:r>
    </w:p>
    <w:p>
      <w:pPr>
        <w:pStyle w:val="BodyText"/>
      </w:pPr>
      <w:r>
        <w:t xml:space="preserve">Retained Patient Rate</w:t>
      </w:r>
    </w:p>
    <w:p>
      <w:pPr>
        <w:pStyle w:val="BodyText"/>
      </w:pPr>
      <w:r>
        <w:t xml:space="preserve">&lt;</w:t>
      </w:r>
    </w:p>
    <w:p>
      <w:pPr>
        <w:pStyle w:val="BodyText"/>
      </w:pPr>
      <w:r>
        <w:t xml:space="preserve">78.4%&lt; td &gt;73.1%&lt; / td &gt;&lt; td &gt;+5.3 pp&lt; / t d &gt;</w:t>
      </w:r>
    </w:p>
    <w:bookmarkEnd w:id="22"/>
    <w:bookmarkStart w:id="23" w:name="iv.-product-service-analysis"/>
    <w:p>
      <w:pPr>
        <w:pStyle w:val="Heading2"/>
      </w:pPr>
      <w:r>
        <w:t xml:space="preserve">IV. Product &amp; Service Analysis</w:t>
      </w:r>
    </w:p>
    <w:p>
      <w:pPr>
        <w:pStyle w:val="FirstParagraph"/>
      </w:pPr>
      <w:r>
        <w:rPr>
          <w:bCs/>
          <w:b/>
        </w:rPr>
        <w:t xml:space="preserve">Premium Eyewear Dominance:</w:t>
      </w:r>
      <w:r>
        <w:t xml:space="preserve"> </w:t>
      </w:r>
      <w:r>
        <w:t xml:space="preserve">Our Paris location experienced exceptional demand for luxury frame collections (including brands like Oakley, Cartier, and locally curated French designers). These premium products accounted for 41% of total revenue – a 9.2% increase from Q2. This trend aligns with Parisian consumer preferences for fashion-forward optical solutions that blend medical functionality with haute couture aesthetics.</w:t>
      </w:r>
    </w:p>
    <w:p>
      <w:pPr>
        <w:pStyle w:val="BodyText"/>
      </w:pPr>
      <w:r>
        <w:rPr>
          <w:bCs/>
          <w:b/>
        </w:rPr>
        <w:t xml:space="preserve">Contact Lens Growth:</w:t>
      </w:r>
      <w:r>
        <w:t xml:space="preserve"> </w:t>
      </w:r>
      <w:r>
        <w:t xml:space="preserve">Contact lens sales surged by 23.5% (to €89,400), driven by new prescriptions from our optometrist team and promotional bundles targeting young professionals in Parisian business districts like La Défense. The French market's growing acceptance of daily disposables was particularly evident in our Q3 performance.</w:t>
      </w:r>
    </w:p>
    <w:p>
      <w:pPr>
        <w:pStyle w:val="BodyText"/>
      </w:pPr>
      <w:r>
        <w:rPr>
          <w:bCs/>
          <w:b/>
        </w:rPr>
        <w:t xml:space="preserve">Value-Added Services:</w:t>
      </w:r>
      <w:r>
        <w:t xml:space="preserve"> </w:t>
      </w:r>
      <w:r>
        <w:t xml:space="preserve">Our diagnostic services (corneal topography, retinal imaging) contributed 28% of total revenue, with a 15.7% year-over-year increase. These high-value procedures were heavily marketed as essential for Parisian residents navigating intense urban environments where digital eye strain is prevalent.</w:t>
      </w:r>
    </w:p>
    <w:bookmarkEnd w:id="23"/>
    <w:bookmarkStart w:id="24" w:name="Xc28e9122379d4c66c72702fe6f88fda63550149"/>
    <w:p>
      <w:pPr>
        <w:pStyle w:val="Heading2"/>
      </w:pPr>
      <w:r>
        <w:t xml:space="preserve">V. Customer Demographics &amp; Market Penetration</w:t>
      </w:r>
    </w:p>
    <w:p>
      <w:pPr>
        <w:pStyle w:val="FirstParagraph"/>
      </w:pPr>
      <w:r>
        <w:t xml:space="preserve">Analysis of our patient base reveals key insights into the France Paris market:</w:t>
      </w:r>
    </w:p>
    <w:p>
      <w:pPr>
        <w:numPr>
          <w:ilvl w:val="0"/>
          <w:numId w:val="1001"/>
        </w:numPr>
        <w:pStyle w:val="Compact"/>
      </w:pPr>
      <w:r>
        <w:rPr>
          <w:bCs/>
          <w:b/>
        </w:rPr>
        <w:t xml:space="preserve">Geographic Concentration:</w:t>
      </w:r>
      <w:r>
        <w:t xml:space="preserve"> </w:t>
      </w:r>
      <w:r>
        <w:t xml:space="preserve">68% of patients reside within Paris city limits (primarily in arrondissements 1-8), with significant growth in the Saint-Germain-des-Prés and Montmartre neighborhoods. This reflects our strategic positioning near major cultural hubs.</w:t>
      </w:r>
    </w:p>
    <w:p>
      <w:pPr>
        <w:numPr>
          <w:ilvl w:val="0"/>
          <w:numId w:val="1001"/>
        </w:numPr>
        <w:pStyle w:val="Compact"/>
      </w:pPr>
      <w:r>
        <w:rPr>
          <w:bCs/>
          <w:b/>
        </w:rPr>
        <w:t xml:space="preserve">Age Distribution:</w:t>
      </w:r>
      <w:r>
        <w:t xml:space="preserve"> </w:t>
      </w:r>
      <w:r>
        <w:t xml:space="preserve">54% of patients aged 30-45 (professionals requiring progressive lenses), 29% aged 18-29 (digital device users seeking blue-light protection), and 17% aged 60+ (presbyopia management).</w:t>
      </w:r>
    </w:p>
    <w:p>
      <w:pPr>
        <w:numPr>
          <w:ilvl w:val="0"/>
          <w:numId w:val="1001"/>
        </w:numPr>
        <w:pStyle w:val="Compact"/>
      </w:pPr>
      <w:r>
        <w:rPr>
          <w:bCs/>
          <w:b/>
        </w:rPr>
        <w:t xml:space="preserve">Language Preference:</w:t>
      </w:r>
      <w:r>
        <w:t xml:space="preserve"> </w:t>
      </w:r>
      <w:r>
        <w:t xml:space="preserve">French-speaking patients accounted for 84%, with English/German speakers comprising the remainder – a critical consideration for our optometrist team serving Paris's international community.</w:t>
      </w:r>
    </w:p>
    <w:bookmarkEnd w:id="24"/>
    <w:bookmarkStart w:id="25" w:name="X2e41c66779916beefa457ab743e5bd99b87320a"/>
    <w:p>
      <w:pPr>
        <w:pStyle w:val="Heading2"/>
      </w:pPr>
      <w:r>
        <w:t xml:space="preserve">VI. Competitive Differentiation in France Paris</w:t>
      </w:r>
    </w:p>
    <w:p>
      <w:pPr>
        <w:pStyle w:val="FirstParagraph"/>
      </w:pPr>
      <w:r>
        <w:t xml:space="preserve">Our success stems from three key differentiators:</w:t>
      </w:r>
    </w:p>
    <w:p>
      <w:pPr>
        <w:numPr>
          <w:ilvl w:val="0"/>
          <w:numId w:val="1002"/>
        </w:numPr>
        <w:pStyle w:val="Compact"/>
      </w:pPr>
      <w:r>
        <w:rPr>
          <w:bCs/>
          <w:b/>
        </w:rPr>
        <w:t xml:space="preserve">Hyper-Local Expertise:</w:t>
      </w:r>
      <w:r>
        <w:t xml:space="preserve"> </w:t>
      </w:r>
      <w:r>
        <w:t xml:space="preserve">Our optometrist team maintains specialized knowledge of Parisian environmental factors (e.g., pollution-related eye conditions, urban lighting patterns) that impact prescription needs.</w:t>
      </w:r>
    </w:p>
    <w:p>
      <w:pPr>
        <w:numPr>
          <w:ilvl w:val="0"/>
          <w:numId w:val="1002"/>
        </w:numPr>
        <w:pStyle w:val="Compact"/>
      </w:pPr>
      <w:r>
        <w:rPr>
          <w:bCs/>
          <w:b/>
        </w:rPr>
        <w:t xml:space="preserve">Cultural Integration:</w:t>
      </w:r>
      <w:r>
        <w:t xml:space="preserve"> </w:t>
      </w:r>
      <w:r>
        <w:t xml:space="preserve">We partner with Parisian fashion houses for exclusive frame collections, aligning our brand with the city's luxury lifestyle – a strategy absent in most French optical chains.</w:t>
      </w:r>
    </w:p>
    <w:p>
      <w:pPr>
        <w:numPr>
          <w:ilvl w:val="0"/>
          <w:numId w:val="1002"/>
        </w:numPr>
        <w:pStyle w:val="Compact"/>
      </w:pPr>
      <w:r>
        <w:rPr>
          <w:bCs/>
          <w:b/>
        </w:rPr>
        <w:t xml:space="preserve">Regulatory Compliance:</w:t>
      </w:r>
      <w:r>
        <w:t xml:space="preserve"> </w:t>
      </w:r>
      <w:r>
        <w:t xml:space="preserve">Full adherence to France's Optical Health Regulations (Réglementation Optique) ensures seamless integration into the national healthcare framework, building patient trust.</w:t>
      </w:r>
    </w:p>
    <w:bookmarkEnd w:id="25"/>
    <w:bookmarkStart w:id="26" w:name="vii.-challenges-strategic-opportunities"/>
    <w:p>
      <w:pPr>
        <w:pStyle w:val="Heading2"/>
      </w:pPr>
      <w:r>
        <w:t xml:space="preserve">VII. Challenges &amp; Strategic Opportunities</w:t>
      </w:r>
    </w:p>
    <w:p>
      <w:pPr>
        <w:pStyle w:val="FirstParagraph"/>
      </w:pPr>
      <w:r>
        <w:rPr>
          <w:iCs/>
          <w:i/>
        </w:rPr>
        <w:t xml:space="preserve">Challenges Faced in Q3:</w:t>
      </w:r>
      <w:r>
        <w:t xml:space="preserve"> </w:t>
      </w:r>
      <w:r>
        <w:t xml:space="preserve">- Rising import costs for European-made lenses (+12% YoY) impacting profit margins</w:t>
      </w:r>
      <w:r>
        <w:t xml:space="preserve"> </w:t>
      </w:r>
      <w:r>
        <w:t xml:space="preserve">- Increased competition from Paris-based chains offering discount services</w:t>
      </w:r>
      <w:r>
        <w:t xml:space="preserve"> </w:t>
      </w:r>
      <w:r>
        <w:t xml:space="preserve">- Regulatory complexity around teleoptometry consultations under French law</w:t>
      </w:r>
    </w:p>
    <w:p>
      <w:pPr>
        <w:pStyle w:val="BodyText"/>
      </w:pPr>
      <w:r>
        <w:rPr>
          <w:iCs/>
          <w:i/>
        </w:rPr>
        <w:t xml:space="preserve">Opportunities for Growth:</w:t>
      </w:r>
      <w:r>
        <w:t xml:space="preserve"> </w:t>
      </w:r>
      <w:r>
        <w:t xml:space="preserve">1.</w:t>
      </w:r>
      <w:r>
        <w:t xml:space="preserve"> </w:t>
      </w:r>
      <w:r>
        <w:rPr>
          <w:bCs/>
          <w:b/>
        </w:rPr>
        <w:t xml:space="preserve">Expanding Premium Services:</w:t>
      </w:r>
      <w:r>
        <w:t xml:space="preserve"> </w:t>
      </w:r>
      <w:r>
        <w:t xml:space="preserve">Launching a dedicated "Paris Vision Wellness" program for corporate clients (e.g., Google Paris, LVMH) to address occupational eye strain.</w:t>
      </w:r>
      <w:r>
        <w:t xml:space="preserve"> </w:t>
      </w:r>
      <w:r>
        <w:t xml:space="preserve">2.</w:t>
      </w:r>
      <w:r>
        <w:t xml:space="preserve"> </w:t>
      </w:r>
      <w:r>
        <w:rPr>
          <w:bCs/>
          <w:b/>
        </w:rPr>
        <w:t xml:space="preserve">Digital Transformation:</w:t>
      </w:r>
      <w:r>
        <w:t xml:space="preserve"> </w:t>
      </w:r>
      <w:r>
        <w:t xml:space="preserve">Implementing an AI-powered prescription tool tailored to French optometric standards – pending regulatory approval.</w:t>
      </w:r>
      <w:r>
        <w:t xml:space="preserve"> </w:t>
      </w:r>
      <w:r>
        <w:t xml:space="preserve">3.</w:t>
      </w:r>
      <w:r>
        <w:t xml:space="preserve"> </w:t>
      </w:r>
      <w:r>
        <w:rPr>
          <w:bCs/>
          <w:b/>
        </w:rPr>
        <w:t xml:space="preserve">Community Engagement:</w:t>
      </w:r>
      <w:r>
        <w:t xml:space="preserve"> </w:t>
      </w:r>
      <w:r>
        <w:t xml:space="preserve">Partnering with Parisian schools for vision screening initiatives (eligible under France's national children's health program).</w:t>
      </w:r>
    </w:p>
    <w:bookmarkEnd w:id="26"/>
    <w:bookmarkStart w:id="27" w:name="viii.-conclusion-strategic-outlook"/>
    <w:p>
      <w:pPr>
        <w:pStyle w:val="Heading2"/>
      </w:pPr>
      <w:r>
        <w:t xml:space="preserve">VIII. Conclusion &amp; Strategic Outlook</w:t>
      </w:r>
    </w:p>
    <w:p>
      <w:pPr>
        <w:pStyle w:val="FirstParagraph"/>
      </w:pPr>
      <w:r>
        <w:t xml:space="preserve">This Sales Report confirms that our optometrist practice in France Paris has successfully navigated the market's complexities while achieving robust growth. The 17.6% revenue increase demonstrates the viability of premium, locally tailored optical services in one of Europe's most competitive markets. Looking ahead to Q4 2023, we will focus on:</w:t>
      </w:r>
    </w:p>
    <w:p>
      <w:pPr>
        <w:numPr>
          <w:ilvl w:val="0"/>
          <w:numId w:val="1003"/>
        </w:numPr>
        <w:pStyle w:val="Compact"/>
      </w:pPr>
      <w:r>
        <w:t xml:space="preserve">Expanding our premium frame partnerships within Parisian luxury retail districts</w:t>
      </w:r>
    </w:p>
    <w:p>
      <w:pPr>
        <w:numPr>
          <w:ilvl w:val="0"/>
          <w:numId w:val="1003"/>
        </w:numPr>
        <w:pStyle w:val="Compact"/>
      </w:pPr>
      <w:r>
        <w:t xml:space="preserve">Introducing a membership program for repeat patients (projected to boost retained patient rate by 8%)</w:t>
      </w:r>
    </w:p>
    <w:p>
      <w:pPr>
        <w:numPr>
          <w:ilvl w:val="0"/>
          <w:numId w:val="1003"/>
        </w:numPr>
        <w:pStyle w:val="Compact"/>
      </w:pPr>
      <w:r>
        <w:t xml:space="preserve">Advocating for streamlined teleoptometry regulations in France through the National Opticians Association</w:t>
      </w:r>
    </w:p>
    <w:p>
      <w:pPr>
        <w:pStyle w:val="FirstParagraph"/>
      </w:pPr>
      <w:r>
        <w:t xml:space="preserve">The data underscores that Paris remains a vital market where specialized optometric care, combined with cultural sensitivity and regulatory compliance, drives sustainable growth. As France's largest city continues to prioritize eye health as part of its urban wellness initiatives, our practice is well-positioned to lead this evolution. We recommend allocating 25% of Q4 marketing budget toward community outreach programs in Parisian neighborhoods – a strategy proven successful in similar European markets.</w:t>
      </w:r>
    </w:p>
    <w:p>
      <w:pPr>
        <w:pStyle w:val="BodyText"/>
      </w:pPr>
      <w:r>
        <w:rPr>
          <w:iCs/>
          <w:i/>
        </w:rPr>
        <w:t xml:space="preserve">Prepared by: [Your Name/Department]</w:t>
      </w:r>
      <w:r>
        <w:br/>
      </w:r>
      <w:r>
        <w:rPr>
          <w:iCs/>
          <w:i/>
        </w:rPr>
        <w:t xml:space="preserve">Optometrist Practice Management, France Paris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France Paris Market</dc:title>
  <dc:creator/>
  <dc:language>en</dc:language>
  <cp:keywords/>
  <dcterms:created xsi:type="dcterms:W3CDTF">2026-07-21T09:51:30Z</dcterms:created>
  <dcterms:modified xsi:type="dcterms:W3CDTF">2026-07-21T09:51:30Z</dcterms:modified>
</cp:coreProperties>
</file>

<file path=docProps/custom.xml><?xml version="1.0" encoding="utf-8"?>
<Properties xmlns="http://schemas.openxmlformats.org/officeDocument/2006/custom-properties" xmlns:vt="http://schemas.openxmlformats.org/officeDocument/2006/docPropsVTypes"/>
</file>